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Arial" w:cs="Arial" w:eastAsia="Arial" w:hAnsi="Arial"/>
          <w:b/>
          <w:bCs/>
          <w:color w:val="0A1A40"/>
          <w:spacing w:val="60"/>
          <w:sz w:val="30"/>
          <w:szCs w:val="30"/>
        </w:rPr>
        <w:t xml:space="preserve">AMERICAN CIVIC POWER</w:t>
      </w:r>
    </w:p>
    <w:p>
      <w:pPr>
        <w:jc w:val="center"/>
      </w:pPr>
      <w:r>
        <w:rPr>
          <w:rFonts w:ascii="Georgia" w:cs="Georgia" w:eastAsia="Georgia" w:hAnsi="Georgia"/>
          <w:b/>
          <w:bCs/>
          <w:color w:val="0A1A40"/>
          <w:sz w:val="30"/>
          <w:szCs w:val="30"/>
        </w:rPr>
        <w:t xml:space="preserve">The 12 Points of Good Governance</w:t>
      </w:r>
    </w:p>
    <w:p>
      <w:pPr>
        <w:pBdr>
          <w:bottom w:val="single" w:color="0A1A40" w:sz="8" w:space="8"/>
        </w:pBdr>
        <w:spacing w:after="200"/>
        <w:jc w:val="center"/>
      </w:pPr>
      <w:r>
        <w:rPr>
          <w:rFonts w:ascii="Georgia" w:cs="Georgia" w:eastAsia="Georgia" w:hAnsi="Georgia"/>
          <w:i/>
          <w:iCs/>
          <w:color w:val="555555"/>
          <w:sz w:val="20"/>
          <w:szCs w:val="20"/>
        </w:rPr>
        <w:t xml:space="preserve">A Framework for Civic Accountability</w:t>
      </w:r>
    </w:p>
    <w:p>
      <w:pPr>
        <w:spacing w:after="160"/>
      </w:pPr>
      <w:r>
        <w:rPr>
          <w:rFonts w:ascii="Arial" w:cs="Arial" w:eastAsia="Arial" w:hAnsi="Arial"/>
          <w:sz w:val="18"/>
          <w:szCs w:val="18"/>
        </w:rPr>
        <w:t xml:space="preserve">The 12 Points of Good Governance is a framework developed by American Civic Power to define what functional, accountable, democratic government looks like in practice. These are not partisan standards — they apply to any government, at any level, regardless of political affiliation. They are rooted in the American constitutional tradition and designed to give every Civestor a clear, consistent tool for evaluating the performance of the institutions that govern their lives.</w:t>
      </w:r>
    </w:p>
    <w:p>
      <w:pPr>
        <w:pBdr>
          <w:left w:val="single" w:color="1D6F94" w:sz="12" w:space="8"/>
        </w:pBdr>
        <w:spacing w:after="240"/>
        <w:ind w:left="400" w:right="400"/>
        <w:jc w:val="center"/>
      </w:pPr>
      <w:r>
        <w:rPr>
          <w:rFonts w:ascii="Georgia" w:cs="Georgia" w:eastAsia="Georgia" w:hAnsi="Georgia"/>
          <w:b/>
          <w:bCs/>
          <w:i/>
          <w:iCs/>
          <w:color w:val="1D6F94"/>
          <w:sz w:val="22"/>
          <w:szCs w:val="22"/>
        </w:rPr>
        <w:t xml:space="preserve">“You cannot hold power accountable without a standard. The 12 Points are that standard.”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cantSplit/>
        </w:trPr>
        <w:tc>
          <w:tcPr>
            <w:tcW w:type="dxa" w:w="2200"/>
            <w:tcBorders>
              <w:top w:val="none" w:color="FFFFFF" w:sz="0"/>
              <w:left w:val="none" w:color="FFFFFF" w:sz="0"/>
              <w:bottom w:val="none" w:color="FFFFFF" w:sz="0"/>
              <w:right w:val="none" w:color="FFFFFF" w:sz="0"/>
            </w:tcBorders>
            <w:shd w:fill="2F6DB5" w:color="auto" w:val="clear"/>
            <w:tcMar>
              <w:top w:type="dxa" w:w="140"/>
              <w:left w:type="dxa" w:w="160"/>
              <w:bottom w:type="dxa" w:w="140"/>
              <w:right w:type="dxa" w:w="120"/>
            </w:tcMar>
          </w:tcPr>
          <w:p>
            <w:r>
              <w:rPr>
                <w:rFonts w:ascii="Georgia" w:cs="Georgia" w:eastAsia="Georgia" w:hAnsi="Georgia"/>
                <w:b/>
                <w:bCs/>
                <w:color w:val="FFFFFF"/>
                <w:sz w:val="44"/>
                <w:szCs w:val="44"/>
              </w:rPr>
              <w:t xml:space="preserve">1</w:t>
            </w:r>
          </w:p>
          <w:p>
            <w:r>
              <w:rPr>
                <w:rFonts w:ascii="Arial" w:cs="Arial" w:eastAsia="Arial" w:hAnsi="Arial"/>
                <w:b/>
                <w:bCs/>
                <w:color w:val="FFFFFF"/>
                <w:sz w:val="20"/>
                <w:szCs w:val="20"/>
              </w:rPr>
              <w:t xml:space="preserve">Rule of Law</w:t>
            </w:r>
          </w:p>
        </w:tc>
        <w:tc>
          <w:tcPr>
            <w:tcW w:type="dxa" w:w="7160"/>
            <w:tcBorders>
              <w:top w:val="none" w:color="FFFFFF" w:sz="0"/>
              <w:left w:val="none" w:color="FFFFFF" w:sz="0"/>
              <w:bottom w:val="none" w:color="FFFFFF" w:sz="0"/>
              <w:right w:val="none" w:color="FFFFFF" w:sz="0"/>
            </w:tcBorders>
            <w:shd w:fill="e0e9f4" w:color="auto" w:val="clear"/>
            <w:tcMar>
              <w:top w:type="dxa" w:w="140"/>
              <w:left w:type="dxa" w:w="200"/>
              <w:bottom w:type="dxa" w:w="140"/>
              <w:right w:type="dxa" w:w="200"/>
            </w:tcMar>
            <w:vAlign w:val="center"/>
          </w:tcPr>
          <w:p>
            <w:pPr>
              <w:spacing w:after="80"/>
            </w:pPr>
            <w:r>
              <w:rPr>
                <w:rFonts w:ascii="Arial" w:cs="Arial" w:eastAsia="Arial" w:hAnsi="Arial"/>
                <w:color w:val="222222"/>
                <w:sz w:val="18"/>
                <w:szCs w:val="18"/>
              </w:rPr>
              <w:t xml:space="preserve">Good governance begins with the equal application of law — no individual or institution above accountability, and government power exercised only within legal bounds. It requires impartial enforcement, enforceable rights, and predictable rules that protect the vulnerable as much as the powerful.</w:t>
            </w:r>
          </w:p>
          <w:p>
            <w:r>
              <w:rPr>
                <w:rFonts w:ascii="Arial" w:cs="Arial" w:eastAsia="Arial" w:hAnsi="Arial"/>
                <w:b/>
                <w:bCs/>
                <w:color w:val="444444"/>
                <w:sz w:val="16"/>
                <w:szCs w:val="16"/>
              </w:rPr>
              <w:t xml:space="preserve">Civest Sphere’s role: </w:t>
            </w:r>
            <w:r>
              <w:rPr>
                <w:rFonts w:ascii="Arial" w:cs="Arial" w:eastAsia="Arial" w:hAnsi="Arial"/>
                <w:i/>
                <w:iCs/>
                <w:color w:val="444444"/>
                <w:sz w:val="16"/>
                <w:szCs w:val="16"/>
              </w:rPr>
              <w:t xml:space="preserve">Civest Sphere’s FOIL-tracking and legal-transparency tools help residents confirm that public bodies are actually operating within the law — turning an abstract principle into something citizens can verify for themselves.</w:t>
            </w:r>
          </w:p>
        </w:tc>
      </w:tr>
      <w:tr>
        <w:trPr>
          <w:trHeight w:val="140" w:hRule="exact"/>
        </w:trPr>
        <w:tc>
          <w:tcPr>
            <w:tcW w:type="dxa" w:w="2200"/>
            <w:tcBorders>
              <w:top w:val="none" w:color="FFFFFF" w:sz="0"/>
              <w:left w:val="none" w:color="FFFFFF" w:sz="0"/>
              <w:bottom w:val="none" w:color="FFFFFF" w:sz="0"/>
              <w:right w:val="none" w:color="FFFFFF" w:sz="0"/>
            </w:tcBorders>
          </w:tcPr>
          <w:p>
            <w:r>
              <w:t xml:space="preserve"/>
            </w:r>
          </w:p>
        </w:tc>
        <w:tc>
          <w:tcPr>
            <w:tcW w:type="dxa" w:w="7160"/>
            <w:tcBorders>
              <w:top w:val="none" w:color="FFFFFF" w:sz="0"/>
              <w:left w:val="none" w:color="FFFFFF" w:sz="0"/>
              <w:bottom w:val="none" w:color="FFFFFF" w:sz="0"/>
              <w:right w:val="none" w:color="FFFFFF" w:sz="0"/>
            </w:tcBorders>
          </w:tcPr>
          <w:p>
            <w:r>
              <w:t xml:space="preserve"/>
            </w:r>
          </w:p>
        </w:tc>
      </w:tr>
      <w:tr>
        <w:trPr>
          <w:cantSplit/>
        </w:trPr>
        <w:tc>
          <w:tcPr>
            <w:tcW w:type="dxa" w:w="2200"/>
            <w:tcBorders>
              <w:top w:val="none" w:color="FFFFFF" w:sz="0"/>
              <w:left w:val="none" w:color="FFFFFF" w:sz="0"/>
              <w:bottom w:val="none" w:color="FFFFFF" w:sz="0"/>
              <w:right w:val="none" w:color="FFFFFF" w:sz="0"/>
            </w:tcBorders>
            <w:shd w:fill="1D6F94" w:color="auto" w:val="clear"/>
            <w:tcMar>
              <w:top w:type="dxa" w:w="140"/>
              <w:left w:type="dxa" w:w="160"/>
              <w:bottom w:type="dxa" w:w="140"/>
              <w:right w:type="dxa" w:w="120"/>
            </w:tcMar>
          </w:tcPr>
          <w:p>
            <w:r>
              <w:rPr>
                <w:rFonts w:ascii="Georgia" w:cs="Georgia" w:eastAsia="Georgia" w:hAnsi="Georgia"/>
                <w:b/>
                <w:bCs/>
                <w:color w:val="FFFFFF"/>
                <w:sz w:val="44"/>
                <w:szCs w:val="44"/>
              </w:rPr>
              <w:t xml:space="preserve">2</w:t>
            </w:r>
          </w:p>
          <w:p>
            <w:r>
              <w:rPr>
                <w:rFonts w:ascii="Arial" w:cs="Arial" w:eastAsia="Arial" w:hAnsi="Arial"/>
                <w:b/>
                <w:bCs/>
                <w:color w:val="FFFFFF"/>
                <w:sz w:val="20"/>
                <w:szCs w:val="20"/>
              </w:rPr>
              <w:t xml:space="preserve">Transparency</w:t>
            </w:r>
          </w:p>
        </w:tc>
        <w:tc>
          <w:tcPr>
            <w:tcW w:type="dxa" w:w="7160"/>
            <w:tcBorders>
              <w:top w:val="none" w:color="FFFFFF" w:sz="0"/>
              <w:left w:val="none" w:color="FFFFFF" w:sz="0"/>
              <w:bottom w:val="none" w:color="FFFFFF" w:sz="0"/>
              <w:right w:val="none" w:color="FFFFFF" w:sz="0"/>
            </w:tcBorders>
            <w:shd w:fill="dde9ef" w:color="auto" w:val="clear"/>
            <w:tcMar>
              <w:top w:type="dxa" w:w="140"/>
              <w:left w:type="dxa" w:w="200"/>
              <w:bottom w:type="dxa" w:w="140"/>
              <w:right w:type="dxa" w:w="200"/>
            </w:tcMar>
            <w:vAlign w:val="center"/>
          </w:tcPr>
          <w:p>
            <w:pPr>
              <w:spacing w:after="80"/>
            </w:pPr>
            <w:r>
              <w:rPr>
                <w:rFonts w:ascii="Arial" w:cs="Arial" w:eastAsia="Arial" w:hAnsi="Arial"/>
                <w:color w:val="222222"/>
                <w:sz w:val="18"/>
                <w:szCs w:val="18"/>
              </w:rPr>
              <w:t xml:space="preserve">Decisions and their enforcement follow rules and procedures that are open, accessible, and clearly communicated to those affected. Information flows freely, and the public can see how a choice was made — not just what was decided.</w:t>
            </w:r>
          </w:p>
          <w:p>
            <w:r>
              <w:rPr>
                <w:rFonts w:ascii="Arial" w:cs="Arial" w:eastAsia="Arial" w:hAnsi="Arial"/>
                <w:b/>
                <w:bCs/>
                <w:color w:val="444444"/>
                <w:sz w:val="16"/>
                <w:szCs w:val="16"/>
              </w:rPr>
              <w:t xml:space="preserve">Civest Sphere’s role: </w:t>
            </w:r>
            <w:r>
              <w:rPr>
                <w:rFonts w:ascii="Arial" w:cs="Arial" w:eastAsia="Arial" w:hAnsi="Arial"/>
                <w:i/>
                <w:iCs/>
                <w:color w:val="444444"/>
                <w:sz w:val="16"/>
                <w:szCs w:val="16"/>
              </w:rPr>
              <w:t xml:space="preserve">Civest Sphere’s public-data dashboards — payroll, campaign finance, property assessments — convert dense government records into information residents can actually read and act on.</w:t>
            </w:r>
          </w:p>
        </w:tc>
      </w:tr>
      <w:tr>
        <w:trPr>
          <w:trHeight w:val="140" w:hRule="exact"/>
        </w:trPr>
        <w:tc>
          <w:tcPr>
            <w:tcW w:type="dxa" w:w="2200"/>
            <w:tcBorders>
              <w:top w:val="none" w:color="FFFFFF" w:sz="0"/>
              <w:left w:val="none" w:color="FFFFFF" w:sz="0"/>
              <w:bottom w:val="none" w:color="FFFFFF" w:sz="0"/>
              <w:right w:val="none" w:color="FFFFFF" w:sz="0"/>
            </w:tcBorders>
          </w:tcPr>
          <w:p>
            <w:r>
              <w:t xml:space="preserve"/>
            </w:r>
          </w:p>
        </w:tc>
        <w:tc>
          <w:tcPr>
            <w:tcW w:type="dxa" w:w="7160"/>
            <w:tcBorders>
              <w:top w:val="none" w:color="FFFFFF" w:sz="0"/>
              <w:left w:val="none" w:color="FFFFFF" w:sz="0"/>
              <w:bottom w:val="none" w:color="FFFFFF" w:sz="0"/>
              <w:right w:val="none" w:color="FFFFFF" w:sz="0"/>
            </w:tcBorders>
          </w:tcPr>
          <w:p>
            <w:r>
              <w:t xml:space="preserve"/>
            </w:r>
          </w:p>
        </w:tc>
      </w:tr>
      <w:tr>
        <w:trPr>
          <w:cantSplit/>
        </w:trPr>
        <w:tc>
          <w:tcPr>
            <w:tcW w:type="dxa" w:w="2200"/>
            <w:tcBorders>
              <w:top w:val="none" w:color="FFFFFF" w:sz="0"/>
              <w:left w:val="none" w:color="FFFFFF" w:sz="0"/>
              <w:bottom w:val="none" w:color="FFFFFF" w:sz="0"/>
              <w:right w:val="none" w:color="FFFFFF" w:sz="0"/>
            </w:tcBorders>
            <w:shd w:fill="2F6B45" w:color="auto" w:val="clear"/>
            <w:tcMar>
              <w:top w:type="dxa" w:w="140"/>
              <w:left w:type="dxa" w:w="160"/>
              <w:bottom w:type="dxa" w:w="140"/>
              <w:right w:type="dxa" w:w="120"/>
            </w:tcMar>
          </w:tcPr>
          <w:p>
            <w:r>
              <w:rPr>
                <w:rFonts w:ascii="Georgia" w:cs="Georgia" w:eastAsia="Georgia" w:hAnsi="Georgia"/>
                <w:b/>
                <w:bCs/>
                <w:color w:val="FFFFFF"/>
                <w:sz w:val="44"/>
                <w:szCs w:val="44"/>
              </w:rPr>
              <w:t xml:space="preserve">3</w:t>
            </w:r>
          </w:p>
          <w:p>
            <w:r>
              <w:rPr>
                <w:rFonts w:ascii="Arial" w:cs="Arial" w:eastAsia="Arial" w:hAnsi="Arial"/>
                <w:b/>
                <w:bCs/>
                <w:color w:val="FFFFFF"/>
                <w:sz w:val="20"/>
                <w:szCs w:val="20"/>
              </w:rPr>
              <w:t xml:space="preserve">Accountability</w:t>
            </w:r>
          </w:p>
        </w:tc>
        <w:tc>
          <w:tcPr>
            <w:tcW w:type="dxa" w:w="7160"/>
            <w:tcBorders>
              <w:top w:val="none" w:color="FFFFFF" w:sz="0"/>
              <w:left w:val="none" w:color="FFFFFF" w:sz="0"/>
              <w:bottom w:val="none" w:color="FFFFFF" w:sz="0"/>
              <w:right w:val="none" w:color="FFFFFF" w:sz="0"/>
            </w:tcBorders>
            <w:shd w:fill="e0e9e3" w:color="auto" w:val="clear"/>
            <w:tcMar>
              <w:top w:type="dxa" w:w="140"/>
              <w:left w:type="dxa" w:w="200"/>
              <w:bottom w:type="dxa" w:w="140"/>
              <w:right w:type="dxa" w:w="200"/>
            </w:tcMar>
            <w:vAlign w:val="center"/>
          </w:tcPr>
          <w:p>
            <w:pPr>
              <w:spacing w:after="80"/>
            </w:pPr>
            <w:r>
              <w:rPr>
                <w:rFonts w:ascii="Arial" w:cs="Arial" w:eastAsia="Arial" w:hAnsi="Arial"/>
                <w:color w:val="222222"/>
                <w:sz w:val="18"/>
                <w:szCs w:val="18"/>
              </w:rPr>
              <w:t xml:space="preserve">Institutions and the people who lead them answer to the public and to one another. Accountability requires clear lines of responsibility, and real consequences when decisions fall short of the public interest.</w:t>
            </w:r>
          </w:p>
          <w:p>
            <w:r>
              <w:rPr>
                <w:rFonts w:ascii="Arial" w:cs="Arial" w:eastAsia="Arial" w:hAnsi="Arial"/>
                <w:b/>
                <w:bCs/>
                <w:color w:val="444444"/>
                <w:sz w:val="16"/>
                <w:szCs w:val="16"/>
              </w:rPr>
              <w:t xml:space="preserve">Civest Sphere’s role: </w:t>
            </w:r>
            <w:r>
              <w:rPr>
                <w:rFonts w:ascii="Arial" w:cs="Arial" w:eastAsia="Arial" w:hAnsi="Arial"/>
                <w:i/>
                <w:iCs/>
                <w:color w:val="444444"/>
                <w:sz w:val="16"/>
                <w:szCs w:val="16"/>
              </w:rPr>
              <w:t xml:space="preserve">By putting voting records, spending, and decision-making in one place, Civest Sphere gives residents the evidence they need to hold officials accountable — at the ballot box and in between elections.</w:t>
            </w:r>
          </w:p>
        </w:tc>
      </w:tr>
      <w:tr>
        <w:trPr>
          <w:trHeight w:val="140" w:hRule="exact"/>
        </w:trPr>
        <w:tc>
          <w:tcPr>
            <w:tcW w:type="dxa" w:w="2200"/>
            <w:tcBorders>
              <w:top w:val="none" w:color="FFFFFF" w:sz="0"/>
              <w:left w:val="none" w:color="FFFFFF" w:sz="0"/>
              <w:bottom w:val="none" w:color="FFFFFF" w:sz="0"/>
              <w:right w:val="none" w:color="FFFFFF" w:sz="0"/>
            </w:tcBorders>
          </w:tcPr>
          <w:p>
            <w:r>
              <w:t xml:space="preserve"/>
            </w:r>
          </w:p>
        </w:tc>
        <w:tc>
          <w:tcPr>
            <w:tcW w:type="dxa" w:w="7160"/>
            <w:tcBorders>
              <w:top w:val="none" w:color="FFFFFF" w:sz="0"/>
              <w:left w:val="none" w:color="FFFFFF" w:sz="0"/>
              <w:bottom w:val="none" w:color="FFFFFF" w:sz="0"/>
              <w:right w:val="none" w:color="FFFFFF" w:sz="0"/>
            </w:tcBorders>
          </w:tcPr>
          <w:p>
            <w:r>
              <w:t xml:space="preserve"/>
            </w:r>
          </w:p>
        </w:tc>
      </w:tr>
      <w:tr>
        <w:trPr>
          <w:cantSplit/>
        </w:trPr>
        <w:tc>
          <w:tcPr>
            <w:tcW w:type="dxa" w:w="2200"/>
            <w:tcBorders>
              <w:top w:val="none" w:color="FFFFFF" w:sz="0"/>
              <w:left w:val="none" w:color="FFFFFF" w:sz="0"/>
              <w:bottom w:val="none" w:color="FFFFFF" w:sz="0"/>
              <w:right w:val="none" w:color="FFFFFF" w:sz="0"/>
            </w:tcBorders>
            <w:shd w:fill="5F8A3A" w:color="auto" w:val="clear"/>
            <w:tcMar>
              <w:top w:type="dxa" w:w="140"/>
              <w:left w:type="dxa" w:w="160"/>
              <w:bottom w:type="dxa" w:w="140"/>
              <w:right w:type="dxa" w:w="120"/>
            </w:tcMar>
          </w:tcPr>
          <w:p>
            <w:r>
              <w:rPr>
                <w:rFonts w:ascii="Georgia" w:cs="Georgia" w:eastAsia="Georgia" w:hAnsi="Georgia"/>
                <w:b/>
                <w:bCs/>
                <w:color w:val="FFFFFF"/>
                <w:sz w:val="44"/>
                <w:szCs w:val="44"/>
              </w:rPr>
              <w:t xml:space="preserve">4</w:t>
            </w:r>
          </w:p>
          <w:p>
            <w:r>
              <w:rPr>
                <w:rFonts w:ascii="Arial" w:cs="Arial" w:eastAsia="Arial" w:hAnsi="Arial"/>
                <w:b/>
                <w:bCs/>
                <w:color w:val="FFFFFF"/>
                <w:sz w:val="20"/>
                <w:szCs w:val="20"/>
              </w:rPr>
              <w:t xml:space="preserve">Participation</w:t>
            </w:r>
          </w:p>
        </w:tc>
        <w:tc>
          <w:tcPr>
            <w:tcW w:type="dxa" w:w="7160"/>
            <w:tcBorders>
              <w:top w:val="none" w:color="FFFFFF" w:sz="0"/>
              <w:left w:val="none" w:color="FFFFFF" w:sz="0"/>
              <w:bottom w:val="none" w:color="FFFFFF" w:sz="0"/>
              <w:right w:val="none" w:color="FFFFFF" w:sz="0"/>
            </w:tcBorders>
            <w:shd w:fill="e7ede1" w:color="auto" w:val="clear"/>
            <w:tcMar>
              <w:top w:type="dxa" w:w="140"/>
              <w:left w:type="dxa" w:w="200"/>
              <w:bottom w:type="dxa" w:w="140"/>
              <w:right w:type="dxa" w:w="200"/>
            </w:tcMar>
            <w:vAlign w:val="center"/>
          </w:tcPr>
          <w:p>
            <w:pPr>
              <w:spacing w:after="80"/>
            </w:pPr>
            <w:r>
              <w:rPr>
                <w:rFonts w:ascii="Arial" w:cs="Arial" w:eastAsia="Arial" w:hAnsi="Arial"/>
                <w:color w:val="222222"/>
                <w:sz w:val="18"/>
                <w:szCs w:val="18"/>
              </w:rPr>
              <w:t xml:space="preserve">Every resident — regardless of income, background, or geography — has a genuine voice in the decisions that shape their community, exercised directly or through legitimate representative institutions.</w:t>
            </w:r>
          </w:p>
          <w:p>
            <w:r>
              <w:rPr>
                <w:rFonts w:ascii="Arial" w:cs="Arial" w:eastAsia="Arial" w:hAnsi="Arial"/>
                <w:b/>
                <w:bCs/>
                <w:color w:val="444444"/>
                <w:sz w:val="16"/>
                <w:szCs w:val="16"/>
              </w:rPr>
              <w:t xml:space="preserve">Civest Sphere’s role: </w:t>
            </w:r>
            <w:r>
              <w:rPr>
                <w:rFonts w:ascii="Arial" w:cs="Arial" w:eastAsia="Arial" w:hAnsi="Arial"/>
                <w:i/>
                <w:iCs/>
                <w:color w:val="444444"/>
                <w:sz w:val="16"/>
                <w:szCs w:val="16"/>
              </w:rPr>
              <w:t xml:space="preserve">From district-leader organizing to civic-education tools, Civest Sphere’s mission is to lower the distance between residents and the institutions that govern them.</w:t>
            </w:r>
          </w:p>
        </w:tc>
      </w:tr>
      <w:tr>
        <w:trPr>
          <w:trHeight w:val="140" w:hRule="exact"/>
        </w:trPr>
        <w:tc>
          <w:tcPr>
            <w:tcW w:type="dxa" w:w="2200"/>
            <w:tcBorders>
              <w:top w:val="none" w:color="FFFFFF" w:sz="0"/>
              <w:left w:val="none" w:color="FFFFFF" w:sz="0"/>
              <w:bottom w:val="none" w:color="FFFFFF" w:sz="0"/>
              <w:right w:val="none" w:color="FFFFFF" w:sz="0"/>
            </w:tcBorders>
          </w:tcPr>
          <w:p>
            <w:r>
              <w:t xml:space="preserve"/>
            </w:r>
          </w:p>
        </w:tc>
        <w:tc>
          <w:tcPr>
            <w:tcW w:type="dxa" w:w="7160"/>
            <w:tcBorders>
              <w:top w:val="none" w:color="FFFFFF" w:sz="0"/>
              <w:left w:val="none" w:color="FFFFFF" w:sz="0"/>
              <w:bottom w:val="none" w:color="FFFFFF" w:sz="0"/>
              <w:right w:val="none" w:color="FFFFFF" w:sz="0"/>
            </w:tcBorders>
          </w:tcPr>
          <w:p>
            <w:r>
              <w:t xml:space="preserve"/>
            </w:r>
          </w:p>
        </w:tc>
      </w:tr>
      <w:tr>
        <w:trPr>
          <w:cantSplit/>
        </w:trPr>
        <w:tc>
          <w:tcPr>
            <w:tcW w:type="dxa" w:w="2200"/>
            <w:tcBorders>
              <w:top w:val="none" w:color="FFFFFF" w:sz="0"/>
              <w:left w:val="none" w:color="FFFFFF" w:sz="0"/>
              <w:bottom w:val="none" w:color="FFFFFF" w:sz="0"/>
              <w:right w:val="none" w:color="FFFFFF" w:sz="0"/>
            </w:tcBorders>
            <w:shd w:fill="B8921C" w:color="auto" w:val="clear"/>
            <w:tcMar>
              <w:top w:type="dxa" w:w="140"/>
              <w:left w:type="dxa" w:w="160"/>
              <w:bottom w:type="dxa" w:w="140"/>
              <w:right w:type="dxa" w:w="120"/>
            </w:tcMar>
          </w:tcPr>
          <w:p>
            <w:r>
              <w:rPr>
                <w:rFonts w:ascii="Georgia" w:cs="Georgia" w:eastAsia="Georgia" w:hAnsi="Georgia"/>
                <w:b/>
                <w:bCs/>
                <w:color w:val="FFFFFF"/>
                <w:sz w:val="44"/>
                <w:szCs w:val="44"/>
              </w:rPr>
              <w:t xml:space="preserve">5</w:t>
            </w:r>
          </w:p>
          <w:p>
            <w:r>
              <w:rPr>
                <w:rFonts w:ascii="Arial" w:cs="Arial" w:eastAsia="Arial" w:hAnsi="Arial"/>
                <w:b/>
                <w:bCs/>
                <w:color w:val="FFFFFF"/>
                <w:sz w:val="20"/>
                <w:szCs w:val="20"/>
              </w:rPr>
              <w:t xml:space="preserve">Consensus Orientation</w:t>
            </w:r>
          </w:p>
        </w:tc>
        <w:tc>
          <w:tcPr>
            <w:tcW w:type="dxa" w:w="7160"/>
            <w:tcBorders>
              <w:top w:val="none" w:color="FFFFFF" w:sz="0"/>
              <w:left w:val="none" w:color="FFFFFF" w:sz="0"/>
              <w:bottom w:val="none" w:color="FFFFFF" w:sz="0"/>
              <w:right w:val="none" w:color="FFFFFF" w:sz="0"/>
            </w:tcBorders>
            <w:shd w:fill="f4efdd" w:color="auto" w:val="clear"/>
            <w:tcMar>
              <w:top w:type="dxa" w:w="140"/>
              <w:left w:type="dxa" w:w="200"/>
              <w:bottom w:type="dxa" w:w="140"/>
              <w:right w:type="dxa" w:w="200"/>
            </w:tcMar>
            <w:vAlign w:val="center"/>
          </w:tcPr>
          <w:p>
            <w:pPr>
              <w:spacing w:after="80"/>
            </w:pPr>
            <w:r>
              <w:rPr>
                <w:rFonts w:ascii="Arial" w:cs="Arial" w:eastAsia="Arial" w:hAnsi="Arial"/>
                <w:color w:val="222222"/>
                <w:sz w:val="18"/>
                <w:szCs w:val="18"/>
              </w:rPr>
              <w:t xml:space="preserve">Good governance mediates differing interests to reach broad agreement on what serves the community’s long-term best interest — and on how that path is best reached.</w:t>
            </w:r>
          </w:p>
          <w:p>
            <w:r>
              <w:rPr>
                <w:rFonts w:ascii="Arial" w:cs="Arial" w:eastAsia="Arial" w:hAnsi="Arial"/>
                <w:b/>
                <w:bCs/>
                <w:color w:val="444444"/>
                <w:sz w:val="16"/>
                <w:szCs w:val="16"/>
              </w:rPr>
              <w:t xml:space="preserve">Civest Sphere’s role: </w:t>
            </w:r>
            <w:r>
              <w:rPr>
                <w:rFonts w:ascii="Arial" w:cs="Arial" w:eastAsia="Arial" w:hAnsi="Arial"/>
                <w:i/>
                <w:iCs/>
                <w:color w:val="444444"/>
                <w:sz w:val="16"/>
                <w:szCs w:val="16"/>
              </w:rPr>
              <w:t xml:space="preserve">Civest Sphere treats civic disagreement as a starting point, not an obstacle — offering shared, nonpartisan data that residents across the political spectrum can reason from together.</w:t>
            </w:r>
          </w:p>
        </w:tc>
      </w:tr>
      <w:tr>
        <w:trPr>
          <w:trHeight w:val="140" w:hRule="exact"/>
        </w:trPr>
        <w:tc>
          <w:tcPr>
            <w:tcW w:type="dxa" w:w="2200"/>
            <w:tcBorders>
              <w:top w:val="none" w:color="FFFFFF" w:sz="0"/>
              <w:left w:val="none" w:color="FFFFFF" w:sz="0"/>
              <w:bottom w:val="none" w:color="FFFFFF" w:sz="0"/>
              <w:right w:val="none" w:color="FFFFFF" w:sz="0"/>
            </w:tcBorders>
          </w:tcPr>
          <w:p>
            <w:r>
              <w:t xml:space="preserve"/>
            </w:r>
          </w:p>
        </w:tc>
        <w:tc>
          <w:tcPr>
            <w:tcW w:type="dxa" w:w="7160"/>
            <w:tcBorders>
              <w:top w:val="none" w:color="FFFFFF" w:sz="0"/>
              <w:left w:val="none" w:color="FFFFFF" w:sz="0"/>
              <w:bottom w:val="none" w:color="FFFFFF" w:sz="0"/>
              <w:right w:val="none" w:color="FFFFFF" w:sz="0"/>
            </w:tcBorders>
          </w:tcPr>
          <w:p>
            <w:r>
              <w:t xml:space="preserve"/>
            </w:r>
          </w:p>
        </w:tc>
      </w:tr>
      <w:tr>
        <w:trPr>
          <w:cantSplit/>
        </w:trPr>
        <w:tc>
          <w:tcPr>
            <w:tcW w:type="dxa" w:w="2200"/>
            <w:tcBorders>
              <w:top w:val="none" w:color="FFFFFF" w:sz="0"/>
              <w:left w:val="none" w:color="FFFFFF" w:sz="0"/>
              <w:bottom w:val="none" w:color="FFFFFF" w:sz="0"/>
              <w:right w:val="none" w:color="FFFFFF" w:sz="0"/>
            </w:tcBorders>
            <w:shd w:fill="C0622B" w:color="auto" w:val="clear"/>
            <w:tcMar>
              <w:top w:type="dxa" w:w="140"/>
              <w:left w:type="dxa" w:w="160"/>
              <w:bottom w:type="dxa" w:w="140"/>
              <w:right w:type="dxa" w:w="120"/>
            </w:tcMar>
          </w:tcPr>
          <w:p>
            <w:r>
              <w:rPr>
                <w:rFonts w:ascii="Georgia" w:cs="Georgia" w:eastAsia="Georgia" w:hAnsi="Georgia"/>
                <w:b/>
                <w:bCs/>
                <w:color w:val="FFFFFF"/>
                <w:sz w:val="44"/>
                <w:szCs w:val="44"/>
              </w:rPr>
              <w:t xml:space="preserve">6</w:t>
            </w:r>
          </w:p>
          <w:p>
            <w:r>
              <w:rPr>
                <w:rFonts w:ascii="Arial" w:cs="Arial" w:eastAsia="Arial" w:hAnsi="Arial"/>
                <w:b/>
                <w:bCs/>
                <w:color w:val="FFFFFF"/>
                <w:sz w:val="20"/>
                <w:szCs w:val="20"/>
              </w:rPr>
              <w:t xml:space="preserve">Equity &amp; Inclusiveness</w:t>
            </w:r>
          </w:p>
        </w:tc>
        <w:tc>
          <w:tcPr>
            <w:tcW w:type="dxa" w:w="7160"/>
            <w:tcBorders>
              <w:top w:val="none" w:color="FFFFFF" w:sz="0"/>
              <w:left w:val="none" w:color="FFFFFF" w:sz="0"/>
              <w:bottom w:val="none" w:color="FFFFFF" w:sz="0"/>
              <w:right w:val="none" w:color="FFFFFF" w:sz="0"/>
            </w:tcBorders>
            <w:shd w:fill="f6e7df" w:color="auto" w:val="clear"/>
            <w:tcMar>
              <w:top w:type="dxa" w:w="140"/>
              <w:left w:type="dxa" w:w="200"/>
              <w:bottom w:type="dxa" w:w="140"/>
              <w:right w:type="dxa" w:w="200"/>
            </w:tcMar>
            <w:vAlign w:val="center"/>
          </w:tcPr>
          <w:p>
            <w:pPr>
              <w:spacing w:after="80"/>
            </w:pPr>
            <w:r>
              <w:rPr>
                <w:rFonts w:ascii="Arial" w:cs="Arial" w:eastAsia="Arial" w:hAnsi="Arial"/>
                <w:color w:val="222222"/>
                <w:sz w:val="18"/>
                <w:szCs w:val="18"/>
              </w:rPr>
              <w:t xml:space="preserve">All members of a community feel they have a stake in its outcomes and are not excluded from the mainstream of society — particularly the most vulnerable, who need real opportunity to improve their well-being.</w:t>
            </w:r>
          </w:p>
          <w:p>
            <w:r>
              <w:rPr>
                <w:rFonts w:ascii="Arial" w:cs="Arial" w:eastAsia="Arial" w:hAnsi="Arial"/>
                <w:b/>
                <w:bCs/>
                <w:color w:val="444444"/>
                <w:sz w:val="16"/>
                <w:szCs w:val="16"/>
              </w:rPr>
              <w:t xml:space="preserve">Civest Sphere’s role: </w:t>
            </w:r>
            <w:r>
              <w:rPr>
                <w:rFonts w:ascii="Arial" w:cs="Arial" w:eastAsia="Arial" w:hAnsi="Arial"/>
                <w:i/>
                <w:iCs/>
                <w:color w:val="444444"/>
                <w:sz w:val="16"/>
                <w:szCs w:val="16"/>
              </w:rPr>
              <w:t xml:space="preserve">Civest Sphere is built to serve every district, not just the ones with the loudest political voice, because equitable access to information is a prerequisite for equitable outcomes.</w:t>
            </w:r>
          </w:p>
        </w:tc>
      </w:tr>
      <w:tr>
        <w:trPr>
          <w:trHeight w:val="140" w:hRule="exact"/>
        </w:trPr>
        <w:tc>
          <w:tcPr>
            <w:tcW w:type="dxa" w:w="2200"/>
            <w:tcBorders>
              <w:top w:val="none" w:color="FFFFFF" w:sz="0"/>
              <w:left w:val="none" w:color="FFFFFF" w:sz="0"/>
              <w:bottom w:val="none" w:color="FFFFFF" w:sz="0"/>
              <w:right w:val="none" w:color="FFFFFF" w:sz="0"/>
            </w:tcBorders>
          </w:tcPr>
          <w:p>
            <w:r>
              <w:t xml:space="preserve"/>
            </w:r>
          </w:p>
        </w:tc>
        <w:tc>
          <w:tcPr>
            <w:tcW w:type="dxa" w:w="7160"/>
            <w:tcBorders>
              <w:top w:val="none" w:color="FFFFFF" w:sz="0"/>
              <w:left w:val="none" w:color="FFFFFF" w:sz="0"/>
              <w:bottom w:val="none" w:color="FFFFFF" w:sz="0"/>
              <w:right w:val="none" w:color="FFFFFF" w:sz="0"/>
            </w:tcBorders>
          </w:tcPr>
          <w:p>
            <w:r>
              <w:t xml:space="preserve"/>
            </w:r>
          </w:p>
        </w:tc>
      </w:tr>
      <w:tr>
        <w:trPr>
          <w:cantSplit/>
        </w:trPr>
        <w:tc>
          <w:tcPr>
            <w:tcW w:type="dxa" w:w="2200"/>
            <w:tcBorders>
              <w:top w:val="none" w:color="FFFFFF" w:sz="0"/>
              <w:left w:val="none" w:color="FFFFFF" w:sz="0"/>
              <w:bottom w:val="none" w:color="FFFFFF" w:sz="0"/>
              <w:right w:val="none" w:color="FFFFFF" w:sz="0"/>
            </w:tcBorders>
            <w:shd w:fill="A1453B" w:color="auto" w:val="clear"/>
            <w:tcMar>
              <w:top w:type="dxa" w:w="140"/>
              <w:left w:type="dxa" w:w="160"/>
              <w:bottom w:type="dxa" w:w="140"/>
              <w:right w:type="dxa" w:w="120"/>
            </w:tcMar>
          </w:tcPr>
          <w:p>
            <w:r>
              <w:rPr>
                <w:rFonts w:ascii="Georgia" w:cs="Georgia" w:eastAsia="Georgia" w:hAnsi="Georgia"/>
                <w:b/>
                <w:bCs/>
                <w:color w:val="FFFFFF"/>
                <w:sz w:val="44"/>
                <w:szCs w:val="44"/>
              </w:rPr>
              <w:t xml:space="preserve">7</w:t>
            </w:r>
          </w:p>
          <w:p>
            <w:r>
              <w:rPr>
                <w:rFonts w:ascii="Arial" w:cs="Arial" w:eastAsia="Arial" w:hAnsi="Arial"/>
                <w:b/>
                <w:bCs/>
                <w:color w:val="FFFFFF"/>
                <w:sz w:val="20"/>
                <w:szCs w:val="20"/>
              </w:rPr>
              <w:t xml:space="preserve">Effectiveness &amp; Efficiency</w:t>
            </w:r>
          </w:p>
        </w:tc>
        <w:tc>
          <w:tcPr>
            <w:tcW w:type="dxa" w:w="7160"/>
            <w:tcBorders>
              <w:top w:val="none" w:color="FFFFFF" w:sz="0"/>
              <w:left w:val="none" w:color="FFFFFF" w:sz="0"/>
              <w:bottom w:val="none" w:color="FFFFFF" w:sz="0"/>
              <w:right w:val="none" w:color="FFFFFF" w:sz="0"/>
            </w:tcBorders>
            <w:shd w:fill="f1e3e2" w:color="auto" w:val="clear"/>
            <w:tcMar>
              <w:top w:type="dxa" w:w="140"/>
              <w:left w:type="dxa" w:w="200"/>
              <w:bottom w:type="dxa" w:w="140"/>
              <w:right w:type="dxa" w:w="200"/>
            </w:tcMar>
            <w:vAlign w:val="center"/>
          </w:tcPr>
          <w:p>
            <w:pPr>
              <w:spacing w:after="80"/>
            </w:pPr>
            <w:r>
              <w:rPr>
                <w:rFonts w:ascii="Arial" w:cs="Arial" w:eastAsia="Arial" w:hAnsi="Arial"/>
                <w:color w:val="222222"/>
                <w:sz w:val="18"/>
                <w:szCs w:val="18"/>
              </w:rPr>
              <w:t xml:space="preserve">Processes and institutions produce results that meet the community’s actual needs while making good use of available resources. Public trust depends on government that visibly works.</w:t>
            </w:r>
          </w:p>
          <w:p>
            <w:r>
              <w:rPr>
                <w:rFonts w:ascii="Arial" w:cs="Arial" w:eastAsia="Arial" w:hAnsi="Arial"/>
                <w:b/>
                <w:bCs/>
                <w:color w:val="444444"/>
                <w:sz w:val="16"/>
                <w:szCs w:val="16"/>
              </w:rPr>
              <w:t xml:space="preserve">Civest Sphere’s role: </w:t>
            </w:r>
            <w:r>
              <w:rPr>
                <w:rFonts w:ascii="Arial" w:cs="Arial" w:eastAsia="Arial" w:hAnsi="Arial"/>
                <w:i/>
                <w:iCs/>
                <w:color w:val="444444"/>
                <w:sz w:val="16"/>
                <w:szCs w:val="16"/>
              </w:rPr>
              <w:t xml:space="preserve">Civest Sphere’s tools are built to save residents’ and organizers’ time — replacing hours of manual records research with a dashboard that surfaces the answer in seconds.</w:t>
            </w:r>
          </w:p>
        </w:tc>
      </w:tr>
      <w:tr>
        <w:trPr>
          <w:trHeight w:val="140" w:hRule="exact"/>
        </w:trPr>
        <w:tc>
          <w:tcPr>
            <w:tcW w:type="dxa" w:w="2200"/>
            <w:tcBorders>
              <w:top w:val="none" w:color="FFFFFF" w:sz="0"/>
              <w:left w:val="none" w:color="FFFFFF" w:sz="0"/>
              <w:bottom w:val="none" w:color="FFFFFF" w:sz="0"/>
              <w:right w:val="none" w:color="FFFFFF" w:sz="0"/>
            </w:tcBorders>
          </w:tcPr>
          <w:p>
            <w:r>
              <w:t xml:space="preserve"/>
            </w:r>
          </w:p>
        </w:tc>
        <w:tc>
          <w:tcPr>
            <w:tcW w:type="dxa" w:w="7160"/>
            <w:tcBorders>
              <w:top w:val="none" w:color="FFFFFF" w:sz="0"/>
              <w:left w:val="none" w:color="FFFFFF" w:sz="0"/>
              <w:bottom w:val="none" w:color="FFFFFF" w:sz="0"/>
              <w:right w:val="none" w:color="FFFFFF" w:sz="0"/>
            </w:tcBorders>
          </w:tcPr>
          <w:p>
            <w:r>
              <w:t xml:space="preserve"/>
            </w:r>
          </w:p>
        </w:tc>
      </w:tr>
      <w:tr>
        <w:trPr>
          <w:cantSplit/>
        </w:trPr>
        <w:tc>
          <w:tcPr>
            <w:tcW w:type="dxa" w:w="2200"/>
            <w:tcBorders>
              <w:top w:val="none" w:color="FFFFFF" w:sz="0"/>
              <w:left w:val="none" w:color="FFFFFF" w:sz="0"/>
              <w:bottom w:val="none" w:color="FFFFFF" w:sz="0"/>
              <w:right w:val="none" w:color="FFFFFF" w:sz="0"/>
            </w:tcBorders>
            <w:shd w:fill="7C2F45" w:color="auto" w:val="clear"/>
            <w:tcMar>
              <w:top w:type="dxa" w:w="140"/>
              <w:left w:type="dxa" w:w="160"/>
              <w:bottom w:type="dxa" w:w="140"/>
              <w:right w:type="dxa" w:w="120"/>
            </w:tcMar>
          </w:tcPr>
          <w:p>
            <w:r>
              <w:rPr>
                <w:rFonts w:ascii="Georgia" w:cs="Georgia" w:eastAsia="Georgia" w:hAnsi="Georgia"/>
                <w:b/>
                <w:bCs/>
                <w:color w:val="FFFFFF"/>
                <w:sz w:val="44"/>
                <w:szCs w:val="44"/>
              </w:rPr>
              <w:t xml:space="preserve">8</w:t>
            </w:r>
          </w:p>
          <w:p>
            <w:r>
              <w:rPr>
                <w:rFonts w:ascii="Arial" w:cs="Arial" w:eastAsia="Arial" w:hAnsi="Arial"/>
                <w:b/>
                <w:bCs/>
                <w:color w:val="FFFFFF"/>
                <w:sz w:val="20"/>
                <w:szCs w:val="20"/>
              </w:rPr>
              <w:t xml:space="preserve">Responsiveness</w:t>
            </w:r>
          </w:p>
        </w:tc>
        <w:tc>
          <w:tcPr>
            <w:tcW w:type="dxa" w:w="7160"/>
            <w:tcBorders>
              <w:top w:val="none" w:color="FFFFFF" w:sz="0"/>
              <w:left w:val="none" w:color="FFFFFF" w:sz="0"/>
              <w:bottom w:val="none" w:color="FFFFFF" w:sz="0"/>
              <w:right w:val="none" w:color="FFFFFF" w:sz="0"/>
            </w:tcBorders>
            <w:shd w:fill="ebe0e3" w:color="auto" w:val="clear"/>
            <w:tcMar>
              <w:top w:type="dxa" w:w="140"/>
              <w:left w:type="dxa" w:w="200"/>
              <w:bottom w:type="dxa" w:w="140"/>
              <w:right w:type="dxa" w:w="200"/>
            </w:tcMar>
            <w:vAlign w:val="center"/>
          </w:tcPr>
          <w:p>
            <w:pPr>
              <w:spacing w:after="80"/>
            </w:pPr>
            <w:r>
              <w:rPr>
                <w:rFonts w:ascii="Arial" w:cs="Arial" w:eastAsia="Arial" w:hAnsi="Arial"/>
                <w:color w:val="222222"/>
                <w:sz w:val="18"/>
                <w:szCs w:val="18"/>
              </w:rPr>
              <w:t xml:space="preserve">Institutions and processes serve all stakeholders within a reasonable timeframe, adapting to community needs rather than requiring residents to adapt to bureaucracy.</w:t>
            </w:r>
          </w:p>
          <w:p>
            <w:r>
              <w:rPr>
                <w:rFonts w:ascii="Arial" w:cs="Arial" w:eastAsia="Arial" w:hAnsi="Arial"/>
                <w:b/>
                <w:bCs/>
                <w:color w:val="444444"/>
                <w:sz w:val="16"/>
                <w:szCs w:val="16"/>
              </w:rPr>
              <w:t xml:space="preserve">Civest Sphere’s role: </w:t>
            </w:r>
            <w:r>
              <w:rPr>
                <w:rFonts w:ascii="Arial" w:cs="Arial" w:eastAsia="Arial" w:hAnsi="Arial"/>
                <w:i/>
                <w:iCs/>
                <w:color w:val="444444"/>
                <w:sz w:val="16"/>
                <w:szCs w:val="16"/>
              </w:rPr>
              <w:t xml:space="preserve">Civest Sphere’s Contact-Your-Rep and district-organizing tools shorten the distance between a resident’s concern and the official positioned to act on it.</w:t>
            </w:r>
          </w:p>
        </w:tc>
      </w:tr>
      <w:tr>
        <w:trPr>
          <w:trHeight w:val="140" w:hRule="exact"/>
        </w:trPr>
        <w:tc>
          <w:tcPr>
            <w:tcW w:type="dxa" w:w="2200"/>
            <w:tcBorders>
              <w:top w:val="none" w:color="FFFFFF" w:sz="0"/>
              <w:left w:val="none" w:color="FFFFFF" w:sz="0"/>
              <w:bottom w:val="none" w:color="FFFFFF" w:sz="0"/>
              <w:right w:val="none" w:color="FFFFFF" w:sz="0"/>
            </w:tcBorders>
          </w:tcPr>
          <w:p>
            <w:r>
              <w:t xml:space="preserve"/>
            </w:r>
          </w:p>
        </w:tc>
        <w:tc>
          <w:tcPr>
            <w:tcW w:type="dxa" w:w="7160"/>
            <w:tcBorders>
              <w:top w:val="none" w:color="FFFFFF" w:sz="0"/>
              <w:left w:val="none" w:color="FFFFFF" w:sz="0"/>
              <w:bottom w:val="none" w:color="FFFFFF" w:sz="0"/>
              <w:right w:val="none" w:color="FFFFFF" w:sz="0"/>
            </w:tcBorders>
          </w:tcPr>
          <w:p>
            <w:r>
              <w:t xml:space="preserve"/>
            </w:r>
          </w:p>
        </w:tc>
      </w:tr>
      <w:tr>
        <w:trPr>
          <w:cantSplit/>
        </w:trPr>
        <w:tc>
          <w:tcPr>
            <w:tcW w:type="dxa" w:w="2200"/>
            <w:tcBorders>
              <w:top w:val="none" w:color="FFFFFF" w:sz="0"/>
              <w:left w:val="none" w:color="FFFFFF" w:sz="0"/>
              <w:bottom w:val="none" w:color="FFFFFF" w:sz="0"/>
              <w:right w:val="none" w:color="FFFFFF" w:sz="0"/>
            </w:tcBorders>
            <w:shd w:fill="64467E" w:color="auto" w:val="clear"/>
            <w:tcMar>
              <w:top w:type="dxa" w:w="140"/>
              <w:left w:type="dxa" w:w="160"/>
              <w:bottom w:type="dxa" w:w="140"/>
              <w:right w:type="dxa" w:w="120"/>
            </w:tcMar>
          </w:tcPr>
          <w:p>
            <w:r>
              <w:rPr>
                <w:rFonts w:ascii="Georgia" w:cs="Georgia" w:eastAsia="Georgia" w:hAnsi="Georgia"/>
                <w:b/>
                <w:bCs/>
                <w:color w:val="FFFFFF"/>
                <w:sz w:val="44"/>
                <w:szCs w:val="44"/>
              </w:rPr>
              <w:t xml:space="preserve">9</w:t>
            </w:r>
          </w:p>
          <w:p>
            <w:r>
              <w:rPr>
                <w:rFonts w:ascii="Arial" w:cs="Arial" w:eastAsia="Arial" w:hAnsi="Arial"/>
                <w:b/>
                <w:bCs/>
                <w:color w:val="FFFFFF"/>
                <w:sz w:val="20"/>
                <w:szCs w:val="20"/>
              </w:rPr>
              <w:t xml:space="preserve">Strategic Vision</w:t>
            </w:r>
          </w:p>
        </w:tc>
        <w:tc>
          <w:tcPr>
            <w:tcW w:type="dxa" w:w="7160"/>
            <w:tcBorders>
              <w:top w:val="none" w:color="FFFFFF" w:sz="0"/>
              <w:left w:val="none" w:color="FFFFFF" w:sz="0"/>
              <w:bottom w:val="none" w:color="FFFFFF" w:sz="0"/>
              <w:right w:val="none" w:color="FFFFFF" w:sz="0"/>
            </w:tcBorders>
            <w:shd w:fill="e8e3ec" w:color="auto" w:val="clear"/>
            <w:tcMar>
              <w:top w:type="dxa" w:w="140"/>
              <w:left w:type="dxa" w:w="200"/>
              <w:bottom w:type="dxa" w:w="140"/>
              <w:right w:type="dxa" w:w="200"/>
            </w:tcMar>
            <w:vAlign w:val="center"/>
          </w:tcPr>
          <w:p>
            <w:pPr>
              <w:spacing w:after="80"/>
            </w:pPr>
            <w:r>
              <w:rPr>
                <w:rFonts w:ascii="Arial" w:cs="Arial" w:eastAsia="Arial" w:hAnsi="Arial"/>
                <w:color w:val="222222"/>
                <w:sz w:val="18"/>
                <w:szCs w:val="18"/>
              </w:rPr>
              <w:t xml:space="preserve">Leaders and the public share a broad, long-term perspective on good governance and human development, grounded in the historical, cultural, and social realities that shape their community.</w:t>
            </w:r>
          </w:p>
          <w:p>
            <w:r>
              <w:rPr>
                <w:rFonts w:ascii="Arial" w:cs="Arial" w:eastAsia="Arial" w:hAnsi="Arial"/>
                <w:b/>
                <w:bCs/>
                <w:color w:val="444444"/>
                <w:sz w:val="16"/>
                <w:szCs w:val="16"/>
              </w:rPr>
              <w:t xml:space="preserve">Civest Sphere’s role: </w:t>
            </w:r>
            <w:r>
              <w:rPr>
                <w:rFonts w:ascii="Arial" w:cs="Arial" w:eastAsia="Arial" w:hAnsi="Arial"/>
                <w:i/>
                <w:iCs/>
                <w:color w:val="444444"/>
                <w:sz w:val="16"/>
                <w:szCs w:val="16"/>
              </w:rPr>
              <w:t xml:space="preserve">American Civic Power’s platform is built for the long horizon — civic infrastructure meant to outlast any single campaign or election cycle.</w:t>
            </w:r>
          </w:p>
        </w:tc>
      </w:tr>
      <w:tr>
        <w:trPr>
          <w:trHeight w:val="140" w:hRule="exact"/>
        </w:trPr>
        <w:tc>
          <w:tcPr>
            <w:tcW w:type="dxa" w:w="2200"/>
            <w:tcBorders>
              <w:top w:val="none" w:color="FFFFFF" w:sz="0"/>
              <w:left w:val="none" w:color="FFFFFF" w:sz="0"/>
              <w:bottom w:val="none" w:color="FFFFFF" w:sz="0"/>
              <w:right w:val="none" w:color="FFFFFF" w:sz="0"/>
            </w:tcBorders>
          </w:tcPr>
          <w:p>
            <w:r>
              <w:t xml:space="preserve"/>
            </w:r>
          </w:p>
        </w:tc>
        <w:tc>
          <w:tcPr>
            <w:tcW w:type="dxa" w:w="7160"/>
            <w:tcBorders>
              <w:top w:val="none" w:color="FFFFFF" w:sz="0"/>
              <w:left w:val="none" w:color="FFFFFF" w:sz="0"/>
              <w:bottom w:val="none" w:color="FFFFFF" w:sz="0"/>
              <w:right w:val="none" w:color="FFFFFF" w:sz="0"/>
            </w:tcBorders>
          </w:tcPr>
          <w:p>
            <w:r>
              <w:t xml:space="preserve"/>
            </w:r>
          </w:p>
        </w:tc>
      </w:tr>
      <w:tr>
        <w:trPr>
          <w:cantSplit/>
        </w:trPr>
        <w:tc>
          <w:tcPr>
            <w:tcW w:type="dxa" w:w="2200"/>
            <w:tcBorders>
              <w:top w:val="none" w:color="FFFFFF" w:sz="0"/>
              <w:left w:val="none" w:color="FFFFFF" w:sz="0"/>
              <w:bottom w:val="none" w:color="FFFFFF" w:sz="0"/>
              <w:right w:val="none" w:color="FFFFFF" w:sz="0"/>
            </w:tcBorders>
            <w:shd w:fill="4A4A8C" w:color="auto" w:val="clear"/>
            <w:tcMar>
              <w:top w:type="dxa" w:w="140"/>
              <w:left w:type="dxa" w:w="160"/>
              <w:bottom w:type="dxa" w:w="140"/>
              <w:right w:type="dxa" w:w="120"/>
            </w:tcMar>
          </w:tcPr>
          <w:p>
            <w:r>
              <w:rPr>
                <w:rFonts w:ascii="Georgia" w:cs="Georgia" w:eastAsia="Georgia" w:hAnsi="Georgia"/>
                <w:b/>
                <w:bCs/>
                <w:color w:val="FFFFFF"/>
                <w:sz w:val="44"/>
                <w:szCs w:val="44"/>
              </w:rPr>
              <w:t xml:space="preserve">10</w:t>
            </w:r>
          </w:p>
          <w:p>
            <w:r>
              <w:rPr>
                <w:rFonts w:ascii="Arial" w:cs="Arial" w:eastAsia="Arial" w:hAnsi="Arial"/>
                <w:b/>
                <w:bCs/>
                <w:color w:val="FFFFFF"/>
                <w:sz w:val="20"/>
                <w:szCs w:val="20"/>
              </w:rPr>
              <w:t xml:space="preserve">Ethical Leadership</w:t>
            </w:r>
          </w:p>
        </w:tc>
        <w:tc>
          <w:tcPr>
            <w:tcW w:type="dxa" w:w="7160"/>
            <w:tcBorders>
              <w:top w:val="none" w:color="FFFFFF" w:sz="0"/>
              <w:left w:val="none" w:color="FFFFFF" w:sz="0"/>
              <w:bottom w:val="none" w:color="FFFFFF" w:sz="0"/>
              <w:right w:val="none" w:color="FFFFFF" w:sz="0"/>
            </w:tcBorders>
            <w:shd w:fill="e4e4ee" w:color="auto" w:val="clear"/>
            <w:tcMar>
              <w:top w:type="dxa" w:w="140"/>
              <w:left w:type="dxa" w:w="200"/>
              <w:bottom w:type="dxa" w:w="140"/>
              <w:right w:type="dxa" w:w="200"/>
            </w:tcMar>
            <w:vAlign w:val="center"/>
          </w:tcPr>
          <w:p>
            <w:pPr>
              <w:spacing w:after="80"/>
            </w:pPr>
            <w:r>
              <w:rPr>
                <w:rFonts w:ascii="Arial" w:cs="Arial" w:eastAsia="Arial" w:hAnsi="Arial"/>
                <w:color w:val="222222"/>
                <w:sz w:val="18"/>
                <w:szCs w:val="18"/>
              </w:rPr>
              <w:t xml:space="preserve">Those who hold public trust act with integrity, place the public interest above personal or political gain, and model the standards of conduct they ask of others.</w:t>
            </w:r>
          </w:p>
          <w:p>
            <w:r>
              <w:rPr>
                <w:rFonts w:ascii="Arial" w:cs="Arial" w:eastAsia="Arial" w:hAnsi="Arial"/>
                <w:b/>
                <w:bCs/>
                <w:color w:val="444444"/>
                <w:sz w:val="16"/>
                <w:szCs w:val="16"/>
              </w:rPr>
              <w:t xml:space="preserve">Civest Sphere’s role: </w:t>
            </w:r>
            <w:r>
              <w:rPr>
                <w:rFonts w:ascii="Arial" w:cs="Arial" w:eastAsia="Arial" w:hAnsi="Arial"/>
                <w:i/>
                <w:iCs/>
                <w:color w:val="444444"/>
                <w:sz w:val="16"/>
                <w:szCs w:val="16"/>
              </w:rPr>
              <w:t xml:space="preserve">Civest Sphere was founded on the premise that civic technology should be a public good, not a partisan tool — a standard its founder holds the platform to directly.</w:t>
            </w:r>
          </w:p>
        </w:tc>
      </w:tr>
      <w:tr>
        <w:trPr>
          <w:trHeight w:val="140" w:hRule="exact"/>
        </w:trPr>
        <w:tc>
          <w:tcPr>
            <w:tcW w:type="dxa" w:w="2200"/>
            <w:tcBorders>
              <w:top w:val="none" w:color="FFFFFF" w:sz="0"/>
              <w:left w:val="none" w:color="FFFFFF" w:sz="0"/>
              <w:bottom w:val="none" w:color="FFFFFF" w:sz="0"/>
              <w:right w:val="none" w:color="FFFFFF" w:sz="0"/>
            </w:tcBorders>
          </w:tcPr>
          <w:p>
            <w:r>
              <w:t xml:space="preserve"/>
            </w:r>
          </w:p>
        </w:tc>
        <w:tc>
          <w:tcPr>
            <w:tcW w:type="dxa" w:w="7160"/>
            <w:tcBorders>
              <w:top w:val="none" w:color="FFFFFF" w:sz="0"/>
              <w:left w:val="none" w:color="FFFFFF" w:sz="0"/>
              <w:bottom w:val="none" w:color="FFFFFF" w:sz="0"/>
              <w:right w:val="none" w:color="FFFFFF" w:sz="0"/>
            </w:tcBorders>
          </w:tcPr>
          <w:p>
            <w:r>
              <w:t xml:space="preserve"/>
            </w:r>
          </w:p>
        </w:tc>
      </w:tr>
      <w:tr>
        <w:trPr>
          <w:cantSplit/>
        </w:trPr>
        <w:tc>
          <w:tcPr>
            <w:tcW w:type="dxa" w:w="2200"/>
            <w:tcBorders>
              <w:top w:val="none" w:color="FFFFFF" w:sz="0"/>
              <w:left w:val="none" w:color="FFFFFF" w:sz="0"/>
              <w:bottom w:val="none" w:color="FFFFFF" w:sz="0"/>
              <w:right w:val="none" w:color="FFFFFF" w:sz="0"/>
            </w:tcBorders>
            <w:shd w:fill="4B5F78" w:color="auto" w:val="clear"/>
            <w:tcMar>
              <w:top w:type="dxa" w:w="140"/>
              <w:left w:type="dxa" w:w="160"/>
              <w:bottom w:type="dxa" w:w="140"/>
              <w:right w:type="dxa" w:w="120"/>
            </w:tcMar>
          </w:tcPr>
          <w:p>
            <w:r>
              <w:rPr>
                <w:rFonts w:ascii="Georgia" w:cs="Georgia" w:eastAsia="Georgia" w:hAnsi="Georgia"/>
                <w:b/>
                <w:bCs/>
                <w:color w:val="FFFFFF"/>
                <w:sz w:val="44"/>
                <w:szCs w:val="44"/>
              </w:rPr>
              <w:t xml:space="preserve">11</w:t>
            </w:r>
          </w:p>
          <w:p>
            <w:r>
              <w:rPr>
                <w:rFonts w:ascii="Arial" w:cs="Arial" w:eastAsia="Arial" w:hAnsi="Arial"/>
                <w:b/>
                <w:bCs/>
                <w:color w:val="FFFFFF"/>
                <w:sz w:val="20"/>
                <w:szCs w:val="20"/>
              </w:rPr>
              <w:t xml:space="preserve">Separation of Powers</w:t>
            </w:r>
          </w:p>
        </w:tc>
        <w:tc>
          <w:tcPr>
            <w:tcW w:type="dxa" w:w="7160"/>
            <w:tcBorders>
              <w:top w:val="none" w:color="FFFFFF" w:sz="0"/>
              <w:left w:val="none" w:color="FFFFFF" w:sz="0"/>
              <w:bottom w:val="none" w:color="FFFFFF" w:sz="0"/>
              <w:right w:val="none" w:color="FFFFFF" w:sz="0"/>
            </w:tcBorders>
            <w:shd w:fill="e4e7eb" w:color="auto" w:val="clear"/>
            <w:tcMar>
              <w:top w:type="dxa" w:w="140"/>
              <w:left w:type="dxa" w:w="200"/>
              <w:bottom w:type="dxa" w:w="140"/>
              <w:right w:type="dxa" w:w="200"/>
            </w:tcMar>
            <w:vAlign w:val="center"/>
          </w:tcPr>
          <w:p>
            <w:pPr>
              <w:spacing w:after="80"/>
            </w:pPr>
            <w:r>
              <w:rPr>
                <w:rFonts w:ascii="Arial" w:cs="Arial" w:eastAsia="Arial" w:hAnsi="Arial"/>
                <w:color w:val="222222"/>
                <w:sz w:val="18"/>
                <w:szCs w:val="18"/>
              </w:rPr>
              <w:t xml:space="preserve">Legislative, executive, and judicial functions operate independently of one another, each a check against the others’ overreach, so no single branch consolidates unchecked authority.</w:t>
            </w:r>
          </w:p>
          <w:p>
            <w:r>
              <w:rPr>
                <w:rFonts w:ascii="Arial" w:cs="Arial" w:eastAsia="Arial" w:hAnsi="Arial"/>
                <w:b/>
                <w:bCs/>
                <w:color w:val="444444"/>
                <w:sz w:val="16"/>
                <w:szCs w:val="16"/>
              </w:rPr>
              <w:t xml:space="preserve">Civest Sphere’s role: </w:t>
            </w:r>
            <w:r>
              <w:rPr>
                <w:rFonts w:ascii="Arial" w:cs="Arial" w:eastAsia="Arial" w:hAnsi="Arial"/>
                <w:i/>
                <w:iCs/>
                <w:color w:val="444444"/>
                <w:sz w:val="16"/>
                <w:szCs w:val="16"/>
              </w:rPr>
              <w:t xml:space="preserve">Civest Sphere’s tools map how local, county, and state authorities actually divide responsibility — helping residents understand which body is accountable for which decision.</w:t>
            </w:r>
          </w:p>
        </w:tc>
      </w:tr>
      <w:tr>
        <w:trPr>
          <w:trHeight w:val="140" w:hRule="exact"/>
        </w:trPr>
        <w:tc>
          <w:tcPr>
            <w:tcW w:type="dxa" w:w="2200"/>
            <w:tcBorders>
              <w:top w:val="none" w:color="FFFFFF" w:sz="0"/>
              <w:left w:val="none" w:color="FFFFFF" w:sz="0"/>
              <w:bottom w:val="none" w:color="FFFFFF" w:sz="0"/>
              <w:right w:val="none" w:color="FFFFFF" w:sz="0"/>
            </w:tcBorders>
          </w:tcPr>
          <w:p>
            <w:r>
              <w:t xml:space="preserve"/>
            </w:r>
          </w:p>
        </w:tc>
        <w:tc>
          <w:tcPr>
            <w:tcW w:type="dxa" w:w="7160"/>
            <w:tcBorders>
              <w:top w:val="none" w:color="FFFFFF" w:sz="0"/>
              <w:left w:val="none" w:color="FFFFFF" w:sz="0"/>
              <w:bottom w:val="none" w:color="FFFFFF" w:sz="0"/>
              <w:right w:val="none" w:color="FFFFFF" w:sz="0"/>
            </w:tcBorders>
          </w:tcPr>
          <w:p>
            <w:r>
              <w:t xml:space="preserve"/>
            </w:r>
          </w:p>
        </w:tc>
      </w:tr>
      <w:tr>
        <w:trPr>
          <w:cantSplit/>
        </w:trPr>
        <w:tc>
          <w:tcPr>
            <w:tcW w:type="dxa" w:w="2200"/>
            <w:tcBorders>
              <w:top w:val="none" w:color="FFFFFF" w:sz="0"/>
              <w:left w:val="none" w:color="FFFFFF" w:sz="0"/>
              <w:bottom w:val="none" w:color="FFFFFF" w:sz="0"/>
              <w:right w:val="none" w:color="FFFFFF" w:sz="0"/>
            </w:tcBorders>
            <w:shd w:fill="8A7330" w:color="auto" w:val="clear"/>
            <w:tcMar>
              <w:top w:type="dxa" w:w="140"/>
              <w:left w:type="dxa" w:w="160"/>
              <w:bottom w:type="dxa" w:w="140"/>
              <w:right w:type="dxa" w:w="120"/>
            </w:tcMar>
          </w:tcPr>
          <w:p>
            <w:r>
              <w:rPr>
                <w:rFonts w:ascii="Georgia" w:cs="Georgia" w:eastAsia="Georgia" w:hAnsi="Georgia"/>
                <w:b/>
                <w:bCs/>
                <w:color w:val="FFFFFF"/>
                <w:sz w:val="44"/>
                <w:szCs w:val="44"/>
              </w:rPr>
              <w:t xml:space="preserve">12</w:t>
            </w:r>
          </w:p>
          <w:p>
            <w:r>
              <w:rPr>
                <w:rFonts w:ascii="Arial" w:cs="Arial" w:eastAsia="Arial" w:hAnsi="Arial"/>
                <w:b/>
                <w:bCs/>
                <w:color w:val="FFFFFF"/>
                <w:sz w:val="20"/>
                <w:szCs w:val="20"/>
              </w:rPr>
              <w:t xml:space="preserve">Local Power</w:t>
            </w:r>
          </w:p>
        </w:tc>
        <w:tc>
          <w:tcPr>
            <w:tcW w:type="dxa" w:w="7160"/>
            <w:tcBorders>
              <w:top w:val="none" w:color="FFFFFF" w:sz="0"/>
              <w:left w:val="none" w:color="FFFFFF" w:sz="0"/>
              <w:bottom w:val="none" w:color="FFFFFF" w:sz="0"/>
              <w:right w:val="none" w:color="FFFFFF" w:sz="0"/>
            </w:tcBorders>
            <w:shd w:fill="edeae0" w:color="auto" w:val="clear"/>
            <w:tcMar>
              <w:top w:type="dxa" w:w="140"/>
              <w:left w:type="dxa" w:w="200"/>
              <w:bottom w:type="dxa" w:w="140"/>
              <w:right w:type="dxa" w:w="200"/>
            </w:tcMar>
            <w:vAlign w:val="center"/>
          </w:tcPr>
          <w:p>
            <w:pPr>
              <w:spacing w:after="80"/>
            </w:pPr>
            <w:r>
              <w:rPr>
                <w:rFonts w:ascii="Arial" w:cs="Arial" w:eastAsia="Arial" w:hAnsi="Arial"/>
                <w:color w:val="222222"/>
                <w:sz w:val="18"/>
                <w:szCs w:val="18"/>
              </w:rPr>
              <w:t xml:space="preserve">Decisions are made as close as possible to the people they affect, with local governments and communities holding real authority over the issues closest to home.</w:t>
            </w:r>
          </w:p>
          <w:p>
            <w:r>
              <w:rPr>
                <w:rFonts w:ascii="Arial" w:cs="Arial" w:eastAsia="Arial" w:hAnsi="Arial"/>
                <w:b/>
                <w:bCs/>
                <w:color w:val="444444"/>
                <w:sz w:val="16"/>
                <w:szCs w:val="16"/>
              </w:rPr>
              <w:t xml:space="preserve">Civest Sphere’s role: </w:t>
            </w:r>
            <w:r>
              <w:rPr>
                <w:rFonts w:ascii="Arial" w:cs="Arial" w:eastAsia="Arial" w:hAnsi="Arial"/>
                <w:i/>
                <w:iCs/>
                <w:color w:val="444444"/>
                <w:sz w:val="16"/>
                <w:szCs w:val="16"/>
              </w:rPr>
              <w:t xml:space="preserve">Civest Sphere is built district by district, starting on Long Island — because civic power, like good governance, is strongest when it starts local.</w:t>
            </w:r>
          </w:p>
        </w:tc>
      </w:tr>
    </w:tbl>
    <w:p>
      <w:pPr>
        <w:pBdr>
          <w:top w:val="single" w:color="999999" w:sz="4" w:space="6"/>
        </w:pBdr>
        <w:spacing w:before="240"/>
        <w:jc w:val="center"/>
      </w:pPr>
      <w:r>
        <w:rPr>
          <w:rFonts w:ascii="Arial" w:cs="Arial" w:eastAsia="Arial" w:hAnsi="Arial"/>
          <w:color w:val="1D6F94"/>
          <w:sz w:val="16"/>
          <w:szCs w:val="16"/>
        </w:rPr>
        <w:t xml:space="preserve">americancivicpower.com  ·  civestsphere.com  ·  Civestors civest. Are you one?</w:t>
      </w:r>
    </w:p>
    <w:sectPr>
      <w:pgSz w:w="12240" w:h="15840" w:orient="portrait"/>
      <w:pgMar w:top="1000" w:right="1440" w:bottom="10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2026-10-15T13:08:56.748Z</dcterms:created>
  <dcterms:modified xsi:type="dcterms:W3CDTF">2026-10-15T13:08:56.748Z</dcterms:modified>
</cp:coreProperties>
</file>

<file path=docProps/custom.xml><?xml version="1.0" encoding="utf-8"?>
<Properties xmlns="http://schemas.openxmlformats.org/officeDocument/2006/custom-properties" xmlns:vt="http://schemas.openxmlformats.org/officeDocument/2006/docPropsVTypes"/>
</file>