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762000" cy="762000"/>
            <wp:effectExtent t="0" r="0" b="0" l="0"/>
            <wp:docPr id="1" name="logo" descr="American Civic Power logo" title="American Civic Pow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40"/>
        <w:jc w:val="center"/>
      </w:pPr>
      <w:r>
        <w:rPr>
          <w:rFonts w:ascii="Calibri" w:cs="Calibri" w:eastAsia="Calibri" w:hAnsi="Calibri"/>
          <w:b/>
          <w:bCs/>
          <w:color w:val="C8102E"/>
          <w:spacing w:val="40"/>
          <w:sz w:val="18"/>
          <w:szCs w:val="18"/>
        </w:rPr>
        <w:t xml:space="preserve">AMERICAN CIVIC POWER  ·  LEARN</w:t>
      </w:r>
    </w:p>
    <w:p>
      <w:pPr>
        <w:spacing w:after="60"/>
        <w:jc w:val="center"/>
      </w:pPr>
      <w:r>
        <w:rPr>
          <w:rFonts w:ascii="Calibri" w:cs="Calibri" w:eastAsia="Calibri" w:hAnsi="Calibri"/>
          <w:b/>
          <w:bCs/>
          <w:color w:val="0A1A40"/>
          <w:sz w:val="48"/>
          <w:szCs w:val="48"/>
        </w:rPr>
        <w:t xml:space="preserve">What Is Privatization?</w:t>
      </w:r>
    </w:p>
    <w:p>
      <w:pPr>
        <w:pBdr>
          <w:bottom w:val="single" w:color="C8102E" w:sz="12" w:space="10"/>
        </w:pBdr>
        <w:spacing w:after="180"/>
        <w:jc w:val="center"/>
      </w:pPr>
      <w:r>
        <w:rPr>
          <w:rFonts w:ascii="Calibri" w:cs="Calibri" w:eastAsia="Calibri" w:hAnsi="Calibri"/>
          <w:i/>
          <w:iCs/>
          <w:color w:val="4A5570"/>
          <w:sz w:val="25"/>
          <w:szCs w:val="25"/>
        </w:rPr>
        <w:t xml:space="preserve">A Civestor's guide to who owns and runs public services</w:t>
      </w:r>
    </w:p>
    <w:p>
      <w:pPr>
        <w:pStyle w:val="Heading1"/>
        <w:keepNext/>
        <w:spacing w:after="90" w:before="220"/>
      </w:pPr>
      <w:r>
        <w:rPr>
          <w:rFonts w:ascii="Calibri" w:cs="Calibri" w:eastAsia="Calibri" w:hAnsi="Calibri"/>
          <w:b/>
          <w:bCs/>
          <w:color w:val="0A1A40"/>
          <w:sz w:val="28"/>
          <w:szCs w:val="28"/>
        </w:rPr>
        <w:t xml:space="preserve">In brief</w:t>
      </w:r>
    </w:p>
    <w:p>
      <w:pPr>
        <w:spacing w:after="110" w:line="288"/>
      </w:pPr>
      <w:r>
        <w:rPr>
          <w:rFonts w:ascii="Calibri" w:cs="Calibri" w:eastAsia="Calibri" w:hAnsi="Calibri"/>
          <w:sz w:val="22"/>
          <w:szCs w:val="22"/>
        </w:rPr>
        <w:t xml:space="preserve">Privatization is the </w:t>
      </w:r>
      <w:r>
        <w:rPr>
          <w:rFonts w:ascii="Calibri" w:cs="Calibri" w:eastAsia="Calibri" w:hAnsi="Calibri"/>
          <w:b/>
          <w:bCs/>
          <w:sz w:val="22"/>
          <w:szCs w:val="22"/>
        </w:rPr>
        <w:t xml:space="preserve">transfer of ownership or control from the government to private owners</w:t>
      </w:r>
      <w:r>
        <w:rPr>
          <w:rFonts w:ascii="Calibri" w:cs="Calibri" w:eastAsia="Calibri" w:hAnsi="Calibri"/>
          <w:sz w:val="22"/>
          <w:szCs w:val="22"/>
        </w:rPr>
        <w:t xml:space="preserve">. It can mean selling a state-owned company or asset outright, or keeping it public on paper while a private company runs it. Once something is privatized, decisions about it are made by owners and managers who answer to investors, rather than to voters and their elected officials.</w:t>
      </w:r>
    </w:p>
    <w:p>
      <w:pPr>
        <w:spacing w:after="110" w:line="288"/>
      </w:pPr>
      <w:r>
        <w:rPr>
          <w:rFonts w:ascii="Calibri" w:cs="Calibri" w:eastAsia="Calibri" w:hAnsi="Calibri"/>
          <w:sz w:val="22"/>
          <w:szCs w:val="22"/>
        </w:rPr>
        <w:t xml:space="preserve">The word is also used in finance for a different idea: a company whose shares trade on the stock market “goes private” when a buyer purchases all of its shares and takes it off the market. This guide is about the first meaning, public to private.</w:t>
      </w:r>
    </w:p>
    <w:p>
      <w:pPr>
        <w:pStyle w:val="Heading1"/>
        <w:keepNext/>
        <w:spacing w:after="90" w:before="220"/>
      </w:pPr>
      <w:r>
        <w:rPr>
          <w:rFonts w:ascii="Calibri" w:cs="Calibri" w:eastAsia="Calibri" w:hAnsi="Calibri"/>
          <w:b/>
          <w:bCs/>
          <w:color w:val="0A1A40"/>
          <w:sz w:val="28"/>
          <w:szCs w:val="28"/>
        </w:rPr>
        <w:t xml:space="preserve">How privatization happens</w:t>
      </w:r>
    </w:p>
    <w:p>
      <w:pPr>
        <w:pStyle w:val="ListParagraph"/>
        <w:numPr>
          <w:ilvl w:val="0"/>
          <w:numId w:val="2"/>
        </w:numPr>
        <w:spacing w:after="60" w:line="280"/>
      </w:pPr>
      <w:r>
        <w:rPr>
          <w:rFonts w:ascii="Calibri" w:cs="Calibri" w:eastAsia="Calibri" w:hAnsi="Calibri"/>
          <w:b/>
          <w:bCs/>
          <w:sz w:val="22"/>
          <w:szCs w:val="22"/>
        </w:rPr>
        <w:t xml:space="preserve">Selling government assets.</w:t>
      </w:r>
      <w:r>
        <w:rPr>
          <w:rFonts w:ascii="Calibri" w:cs="Calibri" w:eastAsia="Calibri" w:hAnsi="Calibri"/>
          <w:sz w:val="22"/>
          <w:szCs w:val="22"/>
        </w:rPr>
        <w:t xml:space="preserve"> A government sells a state-owned company, building or piece of land to private buyers, either all at once or in stages.</w:t>
      </w:r>
    </w:p>
    <w:p>
      <w:pPr>
        <w:pStyle w:val="ListParagraph"/>
        <w:numPr>
          <w:ilvl w:val="0"/>
          <w:numId w:val="2"/>
        </w:numPr>
        <w:spacing w:after="60" w:line="280"/>
      </w:pPr>
      <w:r>
        <w:rPr>
          <w:rFonts w:ascii="Calibri" w:cs="Calibri" w:eastAsia="Calibri" w:hAnsi="Calibri"/>
          <w:b/>
          <w:bCs/>
          <w:sz w:val="22"/>
          <w:szCs w:val="22"/>
        </w:rPr>
        <w:t xml:space="preserve">Selling shares to the public.</w:t>
      </w:r>
      <w:r>
        <w:rPr>
          <w:rFonts w:ascii="Calibri" w:cs="Calibri" w:eastAsia="Calibri" w:hAnsi="Calibri"/>
          <w:sz w:val="22"/>
          <w:szCs w:val="22"/>
        </w:rPr>
        <w:t xml:space="preserve"> The government lists a state-owned company on the stock market and sells its shares, often in several rounds.</w:t>
      </w:r>
    </w:p>
    <w:p>
      <w:pPr>
        <w:pStyle w:val="ListParagraph"/>
        <w:numPr>
          <w:ilvl w:val="0"/>
          <w:numId w:val="2"/>
        </w:numPr>
        <w:spacing w:after="60" w:line="280"/>
      </w:pPr>
      <w:r>
        <w:rPr>
          <w:rFonts w:ascii="Calibri" w:cs="Calibri" w:eastAsia="Calibri" w:hAnsi="Calibri"/>
          <w:b/>
          <w:bCs/>
          <w:sz w:val="22"/>
          <w:szCs w:val="22"/>
        </w:rPr>
        <w:t xml:space="preserve">Voucher privatization.</w:t>
      </w:r>
      <w:r>
        <w:rPr>
          <w:rFonts w:ascii="Calibri" w:cs="Calibri" w:eastAsia="Calibri" w:hAnsi="Calibri"/>
          <w:sz w:val="22"/>
          <w:szCs w:val="22"/>
        </w:rPr>
        <w:t xml:space="preserve"> Citizens receive vouchers they can trade for shares in state companies. Several former communist countries used this in the early 1990s.</w:t>
      </w:r>
    </w:p>
    <w:p>
      <w:pPr>
        <w:pStyle w:val="ListParagraph"/>
        <w:numPr>
          <w:ilvl w:val="0"/>
          <w:numId w:val="2"/>
        </w:numPr>
        <w:spacing w:after="60" w:line="280"/>
      </w:pPr>
      <w:r>
        <w:rPr>
          <w:rFonts w:ascii="Calibri" w:cs="Calibri" w:eastAsia="Calibri" w:hAnsi="Calibri"/>
          <w:b/>
          <w:bCs/>
          <w:sz w:val="22"/>
          <w:szCs w:val="22"/>
        </w:rPr>
        <w:t xml:space="preserve">Contracting out.</w:t>
      </w:r>
      <w:r>
        <w:rPr>
          <w:rFonts w:ascii="Calibri" w:cs="Calibri" w:eastAsia="Calibri" w:hAnsi="Calibri"/>
          <w:sz w:val="22"/>
          <w:szCs w:val="22"/>
        </w:rPr>
        <w:t xml:space="preserve"> The government keeps paying for a public service but hires a private company to deliver it, such as trash collection, school bus routes or prison operation.</w:t>
      </w:r>
    </w:p>
    <w:p>
      <w:pPr>
        <w:pStyle w:val="ListParagraph"/>
        <w:numPr>
          <w:ilvl w:val="0"/>
          <w:numId w:val="2"/>
        </w:numPr>
        <w:spacing w:after="60" w:line="280"/>
      </w:pPr>
      <w:r>
        <w:rPr>
          <w:rFonts w:ascii="Calibri" w:cs="Calibri" w:eastAsia="Calibri" w:hAnsi="Calibri"/>
          <w:b/>
          <w:bCs/>
          <w:sz w:val="22"/>
          <w:szCs w:val="22"/>
        </w:rPr>
        <w:t xml:space="preserve">Long-term leases and concessions.</w:t>
      </w:r>
      <w:r>
        <w:rPr>
          <w:rFonts w:ascii="Calibri" w:cs="Calibri" w:eastAsia="Calibri" w:hAnsi="Calibri"/>
          <w:sz w:val="22"/>
          <w:szCs w:val="22"/>
        </w:rPr>
        <w:t xml:space="preserve"> A private operator runs a public asset, like a toll road or parking system, for decades and keeps the revenue.</w:t>
      </w:r>
    </w:p>
    <w:p>
      <w:pPr>
        <w:pStyle w:val="ListParagraph"/>
        <w:numPr>
          <w:ilvl w:val="0"/>
          <w:numId w:val="2"/>
        </w:numPr>
        <w:spacing w:after="60" w:line="280"/>
      </w:pPr>
      <w:r>
        <w:rPr>
          <w:rFonts w:ascii="Calibri" w:cs="Calibri" w:eastAsia="Calibri" w:hAnsi="Calibri"/>
          <w:b/>
          <w:bCs/>
          <w:sz w:val="22"/>
          <w:szCs w:val="22"/>
        </w:rPr>
        <w:t xml:space="preserve">Public-private partnerships.</w:t>
      </w:r>
      <w:r>
        <w:rPr>
          <w:rFonts w:ascii="Calibri" w:cs="Calibri" w:eastAsia="Calibri" w:hAnsi="Calibri"/>
          <w:sz w:val="22"/>
          <w:szCs w:val="22"/>
        </w:rPr>
        <w:t xml:space="preserve"> Government and private companies share the cost, risk and control of a project, often new infrastructure.</w:t>
      </w:r>
    </w:p>
    <w:p>
      <w:pPr>
        <w:pStyle w:val="Heading1"/>
        <w:keepNext/>
        <w:spacing w:after="90" w:before="220"/>
      </w:pPr>
      <w:r>
        <w:rPr>
          <w:rFonts w:ascii="Calibri" w:cs="Calibri" w:eastAsia="Calibri" w:hAnsi="Calibri"/>
          <w:b/>
          <w:bCs/>
          <w:color w:val="0A1A40"/>
          <w:sz w:val="28"/>
          <w:szCs w:val="28"/>
        </w:rPr>
        <w:t xml:space="preserve">Why governments privatize</w:t>
      </w:r>
    </w:p>
    <w:p>
      <w:pPr>
        <w:pStyle w:val="ListParagraph"/>
        <w:numPr>
          <w:ilvl w:val="0"/>
          <w:numId w:val="2"/>
        </w:numPr>
        <w:spacing w:after="60" w:line="280"/>
      </w:pPr>
      <w:r>
        <w:rPr>
          <w:rFonts w:ascii="Calibri" w:cs="Calibri" w:eastAsia="Calibri" w:hAnsi="Calibri"/>
          <w:sz w:val="22"/>
          <w:szCs w:val="22"/>
        </w:rPr>
        <w:t xml:space="preserve">To raise money quickly by selling assets, often to close a budget gap or pay down debt.</w:t>
      </w:r>
    </w:p>
    <w:p>
      <w:pPr>
        <w:pStyle w:val="ListParagraph"/>
        <w:numPr>
          <w:ilvl w:val="0"/>
          <w:numId w:val="2"/>
        </w:numPr>
        <w:spacing w:after="60" w:line="280"/>
      </w:pPr>
      <w:r>
        <w:rPr>
          <w:rFonts w:ascii="Calibri" w:cs="Calibri" w:eastAsia="Calibri" w:hAnsi="Calibri"/>
          <w:sz w:val="22"/>
          <w:szCs w:val="22"/>
        </w:rPr>
        <w:t xml:space="preserve">In the belief that private companies, facing competition and profit incentives, will run services more efficiently.</w:t>
      </w:r>
    </w:p>
    <w:p>
      <w:pPr>
        <w:pStyle w:val="ListParagraph"/>
        <w:numPr>
          <w:ilvl w:val="0"/>
          <w:numId w:val="2"/>
        </w:numPr>
        <w:spacing w:after="60" w:line="280"/>
      </w:pPr>
      <w:r>
        <w:rPr>
          <w:rFonts w:ascii="Calibri" w:cs="Calibri" w:eastAsia="Calibri" w:hAnsi="Calibri"/>
          <w:sz w:val="22"/>
          <w:szCs w:val="22"/>
        </w:rPr>
        <w:t xml:space="preserve">To shift the cost of maintaining or upgrading aging infrastructure off the public budget.</w:t>
      </w:r>
    </w:p>
    <w:p>
      <w:pPr>
        <w:pStyle w:val="ListParagraph"/>
        <w:numPr>
          <w:ilvl w:val="0"/>
          <w:numId w:val="2"/>
        </w:numPr>
        <w:spacing w:after="60" w:line="280"/>
      </w:pPr>
      <w:r>
        <w:rPr>
          <w:rFonts w:ascii="Calibri" w:cs="Calibri" w:eastAsia="Calibri" w:hAnsi="Calibri"/>
          <w:sz w:val="22"/>
          <w:szCs w:val="22"/>
        </w:rPr>
        <w:t xml:space="preserve">As a policy view that government should do fewer things and markets should do more.</w:t>
      </w:r>
    </w:p>
    <w:p>
      <w:pPr>
        <w:pStyle w:val="Heading1"/>
        <w:keepNext/>
        <w:spacing w:after="90" w:before="220"/>
      </w:pPr>
      <w:r>
        <w:rPr>
          <w:rFonts w:ascii="Calibri" w:cs="Calibri" w:eastAsia="Calibri" w:hAnsi="Calibri"/>
          <w:b/>
          <w:bCs/>
          <w:color w:val="0A1A40"/>
          <w:sz w:val="28"/>
          <w:szCs w:val="28"/>
        </w:rPr>
        <w:t xml:space="preserve">The case for and against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D9E0EE" w:sz="4"/>
              <w:left w:val="single" w:color="D9E0EE" w:sz="4"/>
              <w:bottom w:val="single" w:color="D9E0EE" w:sz="4"/>
              <w:right w:val="single" w:color="D9E0EE" w:sz="4"/>
            </w:tcBorders>
            <w:shd w:fill="1F4FD8" w:color="auto" w:val="clear"/>
            <w:tcMar>
              <w:top w:type="dxa" w:w="120"/>
              <w:left w:type="dxa" w:w="160"/>
              <w:bottom w:type="dxa" w:w="120"/>
              <w:right w:type="dxa" w:w="160"/>
            </w:tcMar>
          </w:tcPr>
          <w:p>
            <w:r>
              <w:rPr>
                <w:rFonts w:ascii="Calibri" w:cs="Calibri" w:eastAsia="Calibri" w:hAnsi="Calibri"/>
                <w:b/>
                <w:bCs/>
                <w:color w:val="FFFFFF"/>
                <w:sz w:val="24"/>
                <w:szCs w:val="24"/>
              </w:rPr>
              <w:t xml:space="preserve">What supporters argue</w:t>
            </w:r>
          </w:p>
        </w:tc>
        <w:tc>
          <w:tcPr>
            <w:tcW w:type="dxa" w:w="4680"/>
            <w:tcBorders>
              <w:top w:val="single" w:color="D9E0EE" w:sz="4"/>
              <w:left w:val="single" w:color="D9E0EE" w:sz="4"/>
              <w:bottom w:val="single" w:color="D9E0EE" w:sz="4"/>
              <w:right w:val="single" w:color="D9E0EE" w:sz="4"/>
            </w:tcBorders>
            <w:shd w:fill="C8102E" w:color="auto" w:val="clear"/>
            <w:tcMar>
              <w:top w:type="dxa" w:w="120"/>
              <w:left w:type="dxa" w:w="160"/>
              <w:bottom w:type="dxa" w:w="120"/>
              <w:right w:type="dxa" w:w="160"/>
            </w:tcMar>
          </w:tcPr>
          <w:p>
            <w:r>
              <w:rPr>
                <w:rFonts w:ascii="Calibri" w:cs="Calibri" w:eastAsia="Calibri" w:hAnsi="Calibri"/>
                <w:b/>
                <w:bCs/>
                <w:color w:val="FFFFFF"/>
                <w:sz w:val="24"/>
                <w:szCs w:val="24"/>
              </w:rPr>
              <w:t xml:space="preserve">What critics warn</w:t>
            </w:r>
          </w:p>
        </w:tc>
      </w:tr>
      <w:tr>
        <w:trPr>
          <w:cantSplit/>
        </w:trPr>
        <w:tc>
          <w:tcPr>
            <w:tcW w:type="dxa" w:w="4680"/>
            <w:tcBorders>
              <w:top w:val="single" w:color="D9E0EE" w:sz="4"/>
              <w:left w:val="single" w:color="D9E0EE" w:sz="4"/>
              <w:bottom w:val="single" w:color="D9E0EE" w:sz="4"/>
              <w:right w:val="single" w:color="D9E0EE" w:sz="4"/>
            </w:tcBorders>
            <w:shd w:fill="F3F6FC" w:color="auto" w:val="clear"/>
            <w:tcMar>
              <w:top w:type="dxa" w:w="120"/>
              <w:left w:type="dxa" w:w="160"/>
              <w:bottom w:type="dxa" w:w="120"/>
              <w:right w:type="dxa" w:w="160"/>
            </w:tcMar>
          </w:tcPr>
          <w:p>
            <w:pPr>
              <w:pStyle w:val="ListParagraph"/>
              <w:numPr>
                <w:ilvl w:val="0"/>
                <w:numId w:val="2"/>
              </w:numPr>
              <w:spacing w:after="60"/>
            </w:pPr>
            <w:r>
              <w:rPr>
                <w:rFonts w:ascii="Calibri" w:cs="Calibri" w:eastAsia="Calibri" w:hAnsi="Calibri"/>
                <w:sz w:val="21"/>
                <w:szCs w:val="21"/>
              </w:rPr>
              <w:t xml:space="preserve">Competition can lower costs and improve service.</w:t>
            </w:r>
          </w:p>
          <w:p>
            <w:pPr>
              <w:pStyle w:val="ListParagraph"/>
              <w:numPr>
                <w:ilvl w:val="0"/>
                <w:numId w:val="2"/>
              </w:numPr>
              <w:spacing w:after="60"/>
            </w:pPr>
            <w:r>
              <w:rPr>
                <w:rFonts w:ascii="Calibri" w:cs="Calibri" w:eastAsia="Calibri" w:hAnsi="Calibri"/>
                <w:sz w:val="21"/>
                <w:szCs w:val="21"/>
              </w:rPr>
              <w:t xml:space="preserve">Selling assets brings in money now.</w:t>
            </w:r>
          </w:p>
          <w:p>
            <w:pPr>
              <w:pStyle w:val="ListParagraph"/>
              <w:numPr>
                <w:ilvl w:val="0"/>
                <w:numId w:val="2"/>
              </w:numPr>
              <w:spacing w:after="60"/>
            </w:pPr>
            <w:r>
              <w:rPr>
                <w:rFonts w:ascii="Calibri" w:cs="Calibri" w:eastAsia="Calibri" w:hAnsi="Calibri"/>
                <w:sz w:val="21"/>
                <w:szCs w:val="21"/>
              </w:rPr>
              <w:t xml:space="preserve">Private owners may invest in upgrades faster.</w:t>
            </w:r>
          </w:p>
          <w:p>
            <w:pPr>
              <w:pStyle w:val="ListParagraph"/>
              <w:numPr>
                <w:ilvl w:val="0"/>
                <w:numId w:val="2"/>
              </w:numPr>
              <w:spacing w:after="60"/>
            </w:pPr>
            <w:r>
              <w:rPr>
                <w:rFonts w:ascii="Calibri" w:cs="Calibri" w:eastAsia="Calibri" w:hAnsi="Calibri"/>
                <w:sz w:val="21"/>
                <w:szCs w:val="21"/>
              </w:rPr>
              <w:t xml:space="preserve">Less political interference in day-to-day operations.</w:t>
            </w:r>
          </w:p>
        </w:tc>
        <w:tc>
          <w:tcPr>
            <w:tcW w:type="dxa" w:w="4680"/>
            <w:tcBorders>
              <w:top w:val="single" w:color="D9E0EE" w:sz="4"/>
              <w:left w:val="single" w:color="D9E0EE" w:sz="4"/>
              <w:bottom w:val="single" w:color="D9E0EE" w:sz="4"/>
              <w:right w:val="single" w:color="D9E0EE" w:sz="4"/>
            </w:tcBorders>
            <w:shd w:fill="FDF1F3" w:color="auto" w:val="clear"/>
            <w:tcMar>
              <w:top w:type="dxa" w:w="120"/>
              <w:left w:type="dxa" w:w="160"/>
              <w:bottom w:type="dxa" w:w="120"/>
              <w:right w:type="dxa" w:w="160"/>
            </w:tcMar>
          </w:tcPr>
          <w:p>
            <w:pPr>
              <w:pStyle w:val="ListParagraph"/>
              <w:numPr>
                <w:ilvl w:val="0"/>
                <w:numId w:val="2"/>
              </w:numPr>
              <w:spacing w:after="60"/>
            </w:pPr>
            <w:r>
              <w:rPr>
                <w:rFonts w:ascii="Calibri" w:cs="Calibri" w:eastAsia="Calibri" w:hAnsi="Calibri"/>
                <w:sz w:val="21"/>
                <w:szCs w:val="21"/>
              </w:rPr>
              <w:t xml:space="preserve">Profit can come before the public interest, through higher fees or cut services.</w:t>
            </w:r>
          </w:p>
          <w:p>
            <w:pPr>
              <w:pStyle w:val="ListParagraph"/>
              <w:numPr>
                <w:ilvl w:val="0"/>
                <w:numId w:val="2"/>
              </w:numPr>
              <w:spacing w:after="60"/>
            </w:pPr>
            <w:r>
              <w:rPr>
                <w:rFonts w:ascii="Calibri" w:cs="Calibri" w:eastAsia="Calibri" w:hAnsi="Calibri"/>
                <w:sz w:val="21"/>
                <w:szCs w:val="21"/>
              </w:rPr>
              <w:t xml:space="preserve">A one-time sale can give up decades of public revenue.</w:t>
            </w:r>
          </w:p>
          <w:p>
            <w:pPr>
              <w:pStyle w:val="ListParagraph"/>
              <w:numPr>
                <w:ilvl w:val="0"/>
                <w:numId w:val="2"/>
              </w:numPr>
              <w:spacing w:after="60"/>
            </w:pPr>
            <w:r>
              <w:rPr>
                <w:rFonts w:ascii="Calibri" w:cs="Calibri" w:eastAsia="Calibri" w:hAnsi="Calibri"/>
                <w:sz w:val="21"/>
                <w:szCs w:val="21"/>
              </w:rPr>
              <w:t xml:space="preserve">Less transparency: private contracts and records are harder for the public to see.</w:t>
            </w:r>
          </w:p>
          <w:p>
            <w:pPr>
              <w:pStyle w:val="ListParagraph"/>
              <w:numPr>
                <w:ilvl w:val="0"/>
                <w:numId w:val="2"/>
              </w:numPr>
              <w:spacing w:after="60"/>
            </w:pPr>
            <w:r>
              <w:rPr>
                <w:rFonts w:ascii="Calibri" w:cs="Calibri" w:eastAsia="Calibri" w:hAnsi="Calibri"/>
                <w:sz w:val="21"/>
                <w:szCs w:val="21"/>
              </w:rPr>
              <w:t xml:space="preserve">A public monopoly can become a private one, with less accountability to voters.</w:t>
            </w:r>
          </w:p>
        </w:tc>
      </w:tr>
    </w:tbl>
    <w:p>
      <w:pPr>
        <w:pStyle w:val="Heading1"/>
        <w:keepNext/>
        <w:spacing w:after="90" w:before="220"/>
      </w:pPr>
      <w:r>
        <w:rPr>
          <w:rFonts w:ascii="Calibri" w:cs="Calibri" w:eastAsia="Calibri" w:hAnsi="Calibri"/>
          <w:b/>
          <w:bCs/>
          <w:color w:val="0A1A40"/>
          <w:sz w:val="28"/>
          <w:szCs w:val="28"/>
        </w:rPr>
        <w:t xml:space="preserve">Well-known examples</w:t>
      </w:r>
    </w:p>
    <w:p>
      <w:pPr>
        <w:pStyle w:val="ListParagraph"/>
        <w:numPr>
          <w:ilvl w:val="0"/>
          <w:numId w:val="2"/>
        </w:numPr>
        <w:spacing w:after="60" w:line="280"/>
      </w:pPr>
      <w:r>
        <w:rPr>
          <w:rFonts w:ascii="Calibri" w:cs="Calibri" w:eastAsia="Calibri" w:hAnsi="Calibri"/>
          <w:b/>
          <w:bCs/>
          <w:sz w:val="22"/>
          <w:szCs w:val="22"/>
        </w:rPr>
        <w:t xml:space="preserve">United Kingdom, 1980s. </w:t>
      </w:r>
      <w:r>
        <w:rPr>
          <w:rFonts w:ascii="Calibri" w:cs="Calibri" w:eastAsia="Calibri" w:hAnsi="Calibri"/>
          <w:sz w:val="22"/>
          <w:szCs w:val="22"/>
        </w:rPr>
        <w:t xml:space="preserve">The government sold major state companies to the public, including British Telecom in 1984 and British Gas in 1986, one of the best-known privatization programs.</w:t>
      </w:r>
    </w:p>
    <w:p>
      <w:pPr>
        <w:pStyle w:val="ListParagraph"/>
        <w:numPr>
          <w:ilvl w:val="0"/>
          <w:numId w:val="2"/>
        </w:numPr>
        <w:spacing w:after="60" w:line="280"/>
      </w:pPr>
      <w:r>
        <w:rPr>
          <w:rFonts w:ascii="Calibri" w:cs="Calibri" w:eastAsia="Calibri" w:hAnsi="Calibri"/>
          <w:b/>
          <w:bCs/>
          <w:sz w:val="22"/>
          <w:szCs w:val="22"/>
        </w:rPr>
        <w:t xml:space="preserve">United States, 1987. </w:t>
      </w:r>
      <w:r>
        <w:rPr>
          <w:rFonts w:ascii="Calibri" w:cs="Calibri" w:eastAsia="Calibri" w:hAnsi="Calibri"/>
          <w:sz w:val="22"/>
          <w:szCs w:val="22"/>
        </w:rPr>
        <w:t xml:space="preserve">Conrail, the federally created freight railroad, was sold to the public through a stock offering.</w:t>
      </w:r>
    </w:p>
    <w:p>
      <w:pPr>
        <w:pStyle w:val="ListParagraph"/>
        <w:numPr>
          <w:ilvl w:val="0"/>
          <w:numId w:val="2"/>
        </w:numPr>
        <w:spacing w:after="60" w:line="280"/>
      </w:pPr>
      <w:r>
        <w:rPr>
          <w:rFonts w:ascii="Calibri" w:cs="Calibri" w:eastAsia="Calibri" w:hAnsi="Calibri"/>
          <w:b/>
          <w:bCs/>
          <w:sz w:val="22"/>
          <w:szCs w:val="22"/>
        </w:rPr>
        <w:t xml:space="preserve">Eastern Europe, early 1990s. </w:t>
      </w:r>
      <w:r>
        <w:rPr>
          <w:rFonts w:ascii="Calibri" w:cs="Calibri" w:eastAsia="Calibri" w:hAnsi="Calibri"/>
          <w:sz w:val="22"/>
          <w:szCs w:val="22"/>
        </w:rPr>
        <w:t xml:space="preserve">Russia and Czechoslovakia used voucher programs to move state enterprises into private hands after communism ended.</w:t>
      </w:r>
    </w:p>
    <w:p>
      <w:pPr>
        <w:pStyle w:val="ListParagraph"/>
        <w:numPr>
          <w:ilvl w:val="0"/>
          <w:numId w:val="2"/>
        </w:numPr>
        <w:spacing w:after="60" w:line="280"/>
      </w:pPr>
      <w:r>
        <w:rPr>
          <w:rFonts w:ascii="Calibri" w:cs="Calibri" w:eastAsia="Calibri" w:hAnsi="Calibri"/>
          <w:b/>
          <w:bCs/>
          <w:sz w:val="22"/>
          <w:szCs w:val="22"/>
        </w:rPr>
        <w:t xml:space="preserve">Chicago, 2008. </w:t>
      </w:r>
      <w:r>
        <w:rPr>
          <w:rFonts w:ascii="Calibri" w:cs="Calibri" w:eastAsia="Calibri" w:hAnsi="Calibri"/>
          <w:sz w:val="22"/>
          <w:szCs w:val="22"/>
        </w:rPr>
        <w:t xml:space="preserve">The city leased its parking meters to a private company for 75 years in exchange for about $1.15 billion upfront, a deal that is still debated as an example of a long-term lease undervaluing a public asset.</w:t>
      </w:r>
    </w:p>
    <w:p>
      <w:pPr>
        <w:pStyle w:val="Heading1"/>
        <w:keepNext/>
        <w:spacing w:after="90" w:before="220"/>
      </w:pPr>
      <w:r>
        <w:rPr>
          <w:rFonts w:ascii="Calibri" w:cs="Calibri" w:eastAsia="Calibri" w:hAnsi="Calibri"/>
          <w:b/>
          <w:bCs/>
          <w:color w:val="0A1A40"/>
          <w:sz w:val="28"/>
          <w:szCs w:val="28"/>
        </w:rPr>
        <w:t xml:space="preserve">Why it matters to Civestors</w:t>
      </w:r>
    </w:p>
    <w:p>
      <w:pPr>
        <w:spacing w:after="110" w:line="288"/>
      </w:pPr>
      <w:r>
        <w:rPr>
          <w:rFonts w:ascii="Calibri" w:cs="Calibri" w:eastAsia="Calibri" w:hAnsi="Calibri"/>
          <w:sz w:val="22"/>
          <w:szCs w:val="22"/>
        </w:rPr>
        <w:t xml:space="preserve">Privatization is not automatically good or bad. What matters is who benefits, who pays and who is accountable. When a public asset or service is on the table, the 12 Points of Good Governance give you a standard for asking the right questions:</w:t>
      </w:r>
    </w:p>
    <w:p>
      <w:pPr>
        <w:pStyle w:val="ListParagraph"/>
        <w:numPr>
          <w:ilvl w:val="0"/>
          <w:numId w:val="2"/>
        </w:numPr>
        <w:spacing w:after="60" w:line="280"/>
      </w:pPr>
      <w:r>
        <w:rPr>
          <w:rFonts w:ascii="Calibri" w:cs="Calibri" w:eastAsia="Calibri" w:hAnsi="Calibri"/>
          <w:b/>
          <w:bCs/>
          <w:sz w:val="22"/>
          <w:szCs w:val="22"/>
        </w:rPr>
        <w:t xml:space="preserve">Transparency: </w:t>
      </w:r>
      <w:r>
        <w:rPr>
          <w:rFonts w:ascii="Calibri" w:cs="Calibri" w:eastAsia="Calibri" w:hAnsi="Calibri"/>
          <w:sz w:val="22"/>
          <w:szCs w:val="22"/>
        </w:rPr>
        <w:t xml:space="preserve">Is the contract public? Can residents see the terms, the bids and the performance reports?</w:t>
      </w:r>
    </w:p>
    <w:p>
      <w:pPr>
        <w:pStyle w:val="ListParagraph"/>
        <w:numPr>
          <w:ilvl w:val="0"/>
          <w:numId w:val="2"/>
        </w:numPr>
        <w:spacing w:after="60" w:line="280"/>
      </w:pPr>
      <w:r>
        <w:rPr>
          <w:rFonts w:ascii="Calibri" w:cs="Calibri" w:eastAsia="Calibri" w:hAnsi="Calibri"/>
          <w:b/>
          <w:bCs/>
          <w:sz w:val="22"/>
          <w:szCs w:val="22"/>
        </w:rPr>
        <w:t xml:space="preserve">Accountability: </w:t>
      </w:r>
      <w:r>
        <w:rPr>
          <w:rFonts w:ascii="Calibri" w:cs="Calibri" w:eastAsia="Calibri" w:hAnsi="Calibri"/>
          <w:sz w:val="22"/>
          <w:szCs w:val="22"/>
        </w:rPr>
        <w:t xml:space="preserve">If service gets worse or prices rise, who answers for it, and can the public end the deal?</w:t>
      </w:r>
    </w:p>
    <w:p>
      <w:pPr>
        <w:pStyle w:val="ListParagraph"/>
        <w:numPr>
          <w:ilvl w:val="0"/>
          <w:numId w:val="2"/>
        </w:numPr>
        <w:spacing w:after="60" w:line="280"/>
      </w:pPr>
      <w:r>
        <w:rPr>
          <w:rFonts w:ascii="Calibri" w:cs="Calibri" w:eastAsia="Calibri" w:hAnsi="Calibri"/>
          <w:b/>
          <w:bCs/>
          <w:sz w:val="22"/>
          <w:szCs w:val="22"/>
        </w:rPr>
        <w:t xml:space="preserve">Fiscal Integrity: </w:t>
      </w:r>
      <w:r>
        <w:rPr>
          <w:rFonts w:ascii="Calibri" w:cs="Calibri" w:eastAsia="Calibri" w:hAnsi="Calibri"/>
          <w:sz w:val="22"/>
          <w:szCs w:val="22"/>
        </w:rPr>
        <w:t xml:space="preserve">Does the price reflect the asset's long-term value, or does it trade future revenue for a quick budget fix?</w:t>
      </w:r>
    </w:p>
    <w:p>
      <w:pPr>
        <w:pStyle w:val="ListParagraph"/>
        <w:numPr>
          <w:ilvl w:val="0"/>
          <w:numId w:val="2"/>
        </w:numPr>
        <w:spacing w:after="60" w:line="280"/>
      </w:pPr>
      <w:r>
        <w:rPr>
          <w:rFonts w:ascii="Calibri" w:cs="Calibri" w:eastAsia="Calibri" w:hAnsi="Calibri"/>
          <w:b/>
          <w:bCs/>
          <w:sz w:val="22"/>
          <w:szCs w:val="22"/>
        </w:rPr>
        <w:t xml:space="preserve">Future Thinking: </w:t>
      </w:r>
      <w:r>
        <w:rPr>
          <w:rFonts w:ascii="Calibri" w:cs="Calibri" w:eastAsia="Calibri" w:hAnsi="Calibri"/>
          <w:sz w:val="22"/>
          <w:szCs w:val="22"/>
        </w:rPr>
        <w:t xml:space="preserve">How will this look in 10, 30 or 75 years, when today's officials are long gone?</w:t>
      </w:r>
    </w:p>
    <w:p>
      <w:pPr>
        <w:pStyle w:val="ListParagraph"/>
        <w:numPr>
          <w:ilvl w:val="0"/>
          <w:numId w:val="2"/>
        </w:numPr>
        <w:spacing w:after="60" w:line="280"/>
      </w:pPr>
      <w:r>
        <w:rPr>
          <w:rFonts w:ascii="Calibri" w:cs="Calibri" w:eastAsia="Calibri" w:hAnsi="Calibri"/>
          <w:b/>
          <w:bCs/>
          <w:sz w:val="22"/>
          <w:szCs w:val="22"/>
        </w:rPr>
        <w:t xml:space="preserve">Civic Access: </w:t>
      </w:r>
      <w:r>
        <w:rPr>
          <w:rFonts w:ascii="Calibri" w:cs="Calibri" w:eastAsia="Calibri" w:hAnsi="Calibri"/>
          <w:sz w:val="22"/>
          <w:szCs w:val="22"/>
        </w:rPr>
        <w:t xml:space="preserve">Was the public given a real chance to weigh in before the decision was made?</w:t>
      </w:r>
    </w:p>
    <w:p>
      <w:pPr>
        <w:pBdr>
          <w:left w:val="single" w:color="C8102E" w:sz="24" w:space="12"/>
        </w:pBdr>
        <w:spacing w:after="160" w:before="160" w:line="300"/>
        <w:ind w:left="360"/>
      </w:pPr>
      <w:r>
        <w:rPr>
          <w:rFonts w:ascii="Calibri" w:cs="Calibri" w:eastAsia="Calibri" w:hAnsi="Calibri"/>
          <w:i/>
          <w:iCs/>
          <w:color w:val="0A1A40"/>
          <w:sz w:val="22"/>
          <w:szCs w:val="22"/>
        </w:rPr>
        <w:t xml:space="preserve">American Civic Power opposes the privatization of essential public services for corporate profit. We believe critical government functions must remain publicly governed, accountable, and directed toward the common good. We, the People, hold the power. It's time to use it.</w:t>
      </w:r>
    </w:p>
    <w:p>
      <w:pPr>
        <w:pStyle w:val="Heading1"/>
        <w:keepNext/>
        <w:spacing w:after="90" w:before="220"/>
      </w:pPr>
      <w:r>
        <w:rPr>
          <w:rFonts w:ascii="Calibri" w:cs="Calibri" w:eastAsia="Calibri" w:hAnsi="Calibri"/>
          <w:b/>
          <w:bCs/>
          <w:color w:val="0A1A40"/>
          <w:sz w:val="28"/>
          <w:szCs w:val="28"/>
        </w:rPr>
        <w:t xml:space="preserve">Further reading</w:t>
      </w:r>
    </w:p>
    <w:p>
      <w:pPr>
        <w:pStyle w:val="ListParagraph"/>
        <w:numPr>
          <w:ilvl w:val="0"/>
          <w:numId w:val="2"/>
        </w:numPr>
        <w:spacing w:after="60" w:line="280"/>
      </w:pPr>
      <w:r>
        <w:rPr>
          <w:rFonts w:ascii="Calibri" w:cs="Calibri" w:eastAsia="Calibri" w:hAnsi="Calibri"/>
          <w:sz w:val="22"/>
          <w:szCs w:val="22"/>
        </w:rPr>
        <w:t xml:space="preserve">Investopedia: </w:t>
      </w:r>
      <w:hyperlink w:history="1" r:id="rIddoifg5pvcwxk2quqtifzs">
        <w:r>
          <w:rPr>
            <w:rFonts w:ascii="Calibri" w:cs="Calibri" w:eastAsia="Calibri" w:hAnsi="Calibri"/>
            <w:color w:val="1F4FD8"/>
            <w:sz w:val="22"/>
            <w:szCs w:val="22"/>
            <w:u w:val="single"/>
          </w:rPr>
          <w:t xml:space="preserve">Privatization</w:t>
        </w:r>
      </w:hyperlink>
    </w:p>
    <w:p>
      <w:pPr>
        <w:pStyle w:val="ListParagraph"/>
        <w:numPr>
          <w:ilvl w:val="0"/>
          <w:numId w:val="2"/>
        </w:numPr>
        <w:spacing w:after="60" w:line="280"/>
      </w:pPr>
      <w:r>
        <w:rPr>
          <w:rFonts w:ascii="Calibri" w:cs="Calibri" w:eastAsia="Calibri" w:hAnsi="Calibri"/>
          <w:sz w:val="22"/>
          <w:szCs w:val="22"/>
        </w:rPr>
        <w:t xml:space="preserve">American Civic Power: </w:t>
      </w:r>
      <w:hyperlink w:history="1" r:id="rIdjvrfj6qks3pu8ipllch9w">
        <w:r>
          <w:rPr>
            <w:rFonts w:ascii="Calibri" w:cs="Calibri" w:eastAsia="Calibri" w:hAnsi="Calibri"/>
            <w:color w:val="1F4FD8"/>
            <w:sz w:val="22"/>
            <w:szCs w:val="22"/>
            <w:u w:val="single"/>
          </w:rPr>
          <w:t xml:space="preserve">The 12 Points of Good Governance</w:t>
        </w:r>
      </w:hyperlink>
    </w:p>
    <w:p>
      <w:pPr>
        <w:pStyle w:val="ListParagraph"/>
        <w:numPr>
          <w:ilvl w:val="0"/>
          <w:numId w:val="2"/>
        </w:numPr>
        <w:spacing w:after="60" w:line="280"/>
      </w:pPr>
      <w:r>
        <w:rPr>
          <w:rFonts w:ascii="Calibri" w:cs="Calibri" w:eastAsia="Calibri" w:hAnsi="Calibri"/>
          <w:sz w:val="22"/>
          <w:szCs w:val="22"/>
        </w:rPr>
        <w:t xml:space="preserve">American Civic Power: </w:t>
      </w:r>
      <w:hyperlink w:history="1" r:id="rIdkrlnbfq7xfwkpz8wgamuv">
        <w:r>
          <w:rPr>
            <w:rFonts w:ascii="Calibri" w:cs="Calibri" w:eastAsia="Calibri" w:hAnsi="Calibri"/>
            <w:color w:val="1F4FD8"/>
            <w:sz w:val="22"/>
            <w:szCs w:val="22"/>
            <w:u w:val="single"/>
          </w:rPr>
          <w:t xml:space="preserve">The Powell Memo</w:t>
        </w:r>
      </w:hyperlink>
    </w:p>
    <w:sectPr>
      <w:footerReference w:type="default" r:id="rId7"/>
      <w:pgSz w:w="12240" w:h="15840" w:orient="portrait"/>
      <w:pgMar w:top="820" w:right="1260" w:bottom="7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A5570"/>
        <w:sz w:val="17"/>
        <w:szCs w:val="17"/>
      </w:rPr>
      <w:t xml:space="preserve">American Civic Power  •  americancivicpower.com  •  Civestors civest. Are you one?   </w:t>
    </w:r>
    <w:r>
      <w:rPr>
        <w:rFonts w:ascii="Calibri" w:cs="Calibri" w:eastAsia="Calibri" w:hAnsi="Calibri"/>
        <w:color w:val="4A5570"/>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color w:val="C8102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ifg5pvcwxk2quqtifzs" Type="http://schemas.openxmlformats.org/officeDocument/2006/relationships/hyperlink" Target="https://www.investopedia.com/terms/p/privatization.asp" TargetMode="External"/><Relationship Id="rIdjvrfj6qks3pu8ipllch9w" Type="http://schemas.openxmlformats.org/officeDocument/2006/relationships/hyperlink" Target="https://www.americancivicpower.com/goodgovernance" TargetMode="External"/><Relationship Id="rIdkrlnbfq7xfwkpz8wgamuv" Type="http://schemas.openxmlformats.org/officeDocument/2006/relationships/hyperlink" Target="https://www.americancivicpower.com/the-powell-memo" TargetMode="External"/><Relationship Id="rId8" Type="http://schemas.openxmlformats.org/officeDocument/2006/relationships/image" Target="media/6a7e48df97aaa2b54ce23acd531006e70719f2f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Privatization? A Civestor's Guide</dc:title>
  <dc:creator>American Civic Power</dc:creator>
  <dc:description>A plain-language explainer on privatization from American Civic Power.</dc:description>
  <cp:lastModifiedBy>Un-named</cp:lastModifiedBy>
  <cp:revision>1</cp:revision>
  <dcterms:created xsi:type="dcterms:W3CDTF">2026-09-29T10:22:53.224Z</dcterms:created>
  <dcterms:modified xsi:type="dcterms:W3CDTF">2026-09-29T10:22:53.225Z</dcterms:modified>
</cp:coreProperties>
</file>

<file path=docProps/custom.xml><?xml version="1.0" encoding="utf-8"?>
<Properties xmlns="http://schemas.openxmlformats.org/officeDocument/2006/custom-properties" xmlns:vt="http://schemas.openxmlformats.org/officeDocument/2006/docPropsVTypes"/>
</file>